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outlineLvl w:val="0"/>
        <w:rPr>
          <w:rFonts w:ascii="宋体" w:hAnsi="宋体" w:eastAsia="宋体" w:cs="宋体"/>
          <w:b/>
          <w:bCs/>
          <w:color w:val="333333"/>
          <w:kern w:val="36"/>
          <w:sz w:val="48"/>
          <w:szCs w:val="48"/>
        </w:rPr>
      </w:pPr>
      <w:bookmarkStart w:id="0" w:name="_GoBack"/>
      <w:bookmarkEnd w:id="0"/>
      <w:r>
        <w:rPr>
          <w:rFonts w:hint="eastAsia" w:ascii="宋体" w:hAnsi="宋体" w:eastAsia="宋体" w:cs="宋体"/>
          <w:b/>
          <w:bCs/>
          <w:color w:val="333333"/>
          <w:kern w:val="36"/>
          <w:sz w:val="48"/>
          <w:szCs w:val="48"/>
        </w:rPr>
        <w:t>政府采购项目采购需求（货物</w:t>
      </w:r>
      <w:r>
        <w:rPr>
          <w:rFonts w:ascii="宋体" w:hAnsi="宋体" w:eastAsia="宋体" w:cs="宋体"/>
          <w:b/>
          <w:bCs/>
          <w:color w:val="333333"/>
          <w:kern w:val="36"/>
          <w:sz w:val="48"/>
          <w:szCs w:val="48"/>
        </w:rPr>
        <w:t>类</w:t>
      </w:r>
      <w:r>
        <w:rPr>
          <w:rFonts w:hint="eastAsia" w:ascii="宋体" w:hAnsi="宋体" w:eastAsia="宋体" w:cs="宋体"/>
          <w:b/>
          <w:bCs/>
          <w:color w:val="333333"/>
          <w:kern w:val="36"/>
          <w:sz w:val="48"/>
          <w:szCs w:val="48"/>
        </w:rPr>
        <w:t>）</w:t>
      </w:r>
    </w:p>
    <w:p>
      <w:pPr>
        <w:widowControl/>
        <w:shd w:val="clear" w:color="auto" w:fill="FFFFFF"/>
        <w:spacing w:line="480" w:lineRule="auto"/>
        <w:jc w:val="right"/>
        <w:outlineLvl w:val="2"/>
        <w:rPr>
          <w:rFonts w:ascii="宋体" w:hAnsi="宋体" w:eastAsia="宋体" w:cs="宋体"/>
          <w:color w:val="333333"/>
          <w:kern w:val="0"/>
          <w:sz w:val="27"/>
          <w:szCs w:val="27"/>
        </w:rPr>
      </w:pPr>
    </w:p>
    <w:p>
      <w:pPr>
        <w:widowControl/>
        <w:shd w:val="clear" w:color="auto" w:fill="FFFFFF"/>
        <w:spacing w:line="480" w:lineRule="auto"/>
        <w:ind w:right="1080"/>
        <w:outlineLvl w:val="2"/>
        <w:rPr>
          <w:rFonts w:ascii="宋体" w:hAnsi="宋体" w:eastAsia="宋体" w:cs="宋体"/>
          <w:color w:val="FF0000"/>
          <w:kern w:val="0"/>
          <w:sz w:val="27"/>
          <w:szCs w:val="27"/>
        </w:rPr>
      </w:pPr>
      <w:r>
        <w:rPr>
          <w:rFonts w:hint="eastAsia" w:ascii="宋体" w:hAnsi="宋体" w:eastAsia="宋体" w:cs="宋体"/>
          <w:color w:val="FF0000"/>
          <w:kern w:val="0"/>
          <w:sz w:val="27"/>
          <w:szCs w:val="27"/>
        </w:rPr>
        <w:t>采购单位（盖章）：</w:t>
      </w:r>
    </w:p>
    <w:p>
      <w:pPr>
        <w:widowControl/>
        <w:shd w:val="clear" w:color="auto" w:fill="FFFFFF"/>
        <w:spacing w:line="480" w:lineRule="auto"/>
        <w:outlineLvl w:val="2"/>
        <w:rPr>
          <w:rFonts w:ascii="宋体" w:hAnsi="宋体" w:eastAsia="宋体" w:cs="宋体"/>
          <w:b/>
          <w:bCs/>
          <w:color w:val="FF0000"/>
          <w:kern w:val="0"/>
          <w:sz w:val="27"/>
          <w:szCs w:val="27"/>
        </w:rPr>
      </w:pPr>
      <w:r>
        <w:rPr>
          <w:rFonts w:hint="eastAsia" w:ascii="宋体" w:hAnsi="宋体" w:eastAsia="宋体" w:cs="宋体"/>
          <w:b/>
          <w:bCs/>
          <w:color w:val="FF0000"/>
          <w:kern w:val="0"/>
          <w:sz w:val="27"/>
          <w:szCs w:val="27"/>
        </w:rPr>
        <w:t>一、项目总体情况</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（一）项目名称： 西华大学</w:t>
      </w:r>
      <w:r>
        <w:rPr>
          <w:rFonts w:hint="eastAsia" w:ascii="宋体" w:hAnsi="宋体" w:eastAsia="宋体" w:cs="宋体"/>
          <w:color w:val="333333"/>
          <w:kern w:val="0"/>
          <w:sz w:val="24"/>
          <w:szCs w:val="24"/>
          <w:lang w:val="en-US" w:eastAsia="zh-CN"/>
        </w:rPr>
        <w:t>教师</w:t>
      </w:r>
      <w:r>
        <w:rPr>
          <w:rFonts w:hint="eastAsia" w:ascii="宋体" w:hAnsi="宋体" w:eastAsia="宋体" w:cs="宋体"/>
          <w:color w:val="333333"/>
          <w:kern w:val="0"/>
          <w:sz w:val="24"/>
          <w:szCs w:val="24"/>
        </w:rPr>
        <w:t>办公家具采购项目</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（二）项目所属年度：2022 </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（三）项目所属分类：</w:t>
      </w:r>
      <w:r>
        <w:rPr>
          <w:rFonts w:hint="eastAsia" w:ascii="宋体" w:hAnsi="宋体" w:eastAsia="宋体" w:cs="宋体"/>
          <w:b/>
          <w:color w:val="333333"/>
          <w:kern w:val="0"/>
          <w:sz w:val="24"/>
          <w:szCs w:val="24"/>
        </w:rPr>
        <w:t>货物</w:t>
      </w:r>
    </w:p>
    <w:p>
      <w:pPr>
        <w:widowControl/>
        <w:shd w:val="clear" w:color="auto" w:fill="FFFFFF"/>
        <w:spacing w:line="480" w:lineRule="auto"/>
        <w:ind w:firstLine="420"/>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 xml:space="preserve">（四）预算金额（元）： </w:t>
      </w:r>
      <w:r>
        <w:rPr>
          <w:rFonts w:hint="eastAsia" w:ascii="宋体" w:hAnsi="宋体" w:eastAsia="宋体" w:cs="宋体"/>
          <w:color w:val="333333"/>
          <w:kern w:val="0"/>
          <w:sz w:val="24"/>
          <w:szCs w:val="24"/>
          <w:lang w:val="en-US" w:eastAsia="zh-CN"/>
        </w:rPr>
        <w:t>5</w:t>
      </w:r>
      <w:r>
        <w:rPr>
          <w:rFonts w:hint="eastAsia" w:ascii="宋体" w:hAnsi="宋体" w:eastAsia="宋体" w:cs="宋体"/>
          <w:color w:val="333333"/>
          <w:kern w:val="0"/>
          <w:sz w:val="24"/>
          <w:szCs w:val="24"/>
        </w:rPr>
        <w:t>10</w:t>
      </w:r>
      <w:r>
        <w:rPr>
          <w:rFonts w:hint="eastAsia" w:ascii="宋体" w:hAnsi="宋体" w:eastAsia="宋体" w:cs="宋体"/>
          <w:color w:val="333333"/>
          <w:kern w:val="0"/>
          <w:sz w:val="24"/>
          <w:szCs w:val="24"/>
          <w:lang w:val="en-US" w:eastAsia="zh-CN"/>
        </w:rPr>
        <w:t>0</w:t>
      </w:r>
      <w:r>
        <w:rPr>
          <w:rFonts w:hint="eastAsia" w:ascii="宋体" w:hAnsi="宋体" w:eastAsia="宋体" w:cs="宋体"/>
          <w:color w:val="333333"/>
          <w:kern w:val="0"/>
          <w:sz w:val="24"/>
          <w:szCs w:val="24"/>
        </w:rPr>
        <w:t xml:space="preserve">00元 ，大写（人民币）： </w:t>
      </w:r>
      <w:r>
        <w:rPr>
          <w:rFonts w:hint="eastAsia" w:ascii="宋体" w:hAnsi="宋体" w:eastAsia="宋体" w:cs="宋体"/>
          <w:color w:val="333333"/>
          <w:kern w:val="0"/>
          <w:sz w:val="24"/>
          <w:szCs w:val="24"/>
          <w:lang w:val="en-US" w:eastAsia="zh-CN"/>
        </w:rPr>
        <w:t>伍拾壹万元整</w:t>
      </w:r>
    </w:p>
    <w:p>
      <w:pPr>
        <w:widowControl/>
        <w:shd w:val="clear" w:color="auto" w:fill="FFFFFF"/>
        <w:spacing w:line="480" w:lineRule="auto"/>
        <w:ind w:firstLine="1200"/>
        <w:rPr>
          <w:rFonts w:ascii="宋体" w:hAnsi="宋体" w:eastAsia="宋体" w:cs="宋体"/>
          <w:color w:val="333333"/>
          <w:kern w:val="0"/>
          <w:sz w:val="24"/>
          <w:szCs w:val="24"/>
        </w:rPr>
      </w:pPr>
      <w:r>
        <w:rPr>
          <w:rFonts w:hint="eastAsia" w:ascii="宋体" w:hAnsi="宋体" w:eastAsia="宋体" w:cs="宋体"/>
          <w:color w:val="333333"/>
          <w:kern w:val="0"/>
          <w:sz w:val="24"/>
          <w:szCs w:val="24"/>
        </w:rPr>
        <w:t>最高限价（元）：</w:t>
      </w:r>
      <w:r>
        <w:rPr>
          <w:rFonts w:hint="eastAsia" w:ascii="宋体" w:hAnsi="宋体" w:eastAsia="宋体" w:cs="宋体"/>
          <w:color w:val="333333"/>
          <w:kern w:val="0"/>
          <w:sz w:val="24"/>
          <w:szCs w:val="24"/>
          <w:lang w:val="en-US" w:eastAsia="zh-CN"/>
        </w:rPr>
        <w:t>5</w:t>
      </w:r>
      <w:r>
        <w:rPr>
          <w:rFonts w:hint="eastAsia" w:ascii="宋体" w:hAnsi="宋体" w:eastAsia="宋体" w:cs="宋体"/>
          <w:color w:val="333333"/>
          <w:kern w:val="0"/>
          <w:sz w:val="24"/>
          <w:szCs w:val="24"/>
        </w:rPr>
        <w:t>10</w:t>
      </w:r>
      <w:r>
        <w:rPr>
          <w:rFonts w:hint="eastAsia" w:ascii="宋体" w:hAnsi="宋体" w:eastAsia="宋体" w:cs="宋体"/>
          <w:color w:val="333333"/>
          <w:kern w:val="0"/>
          <w:sz w:val="24"/>
          <w:szCs w:val="24"/>
          <w:lang w:val="en-US" w:eastAsia="zh-CN"/>
        </w:rPr>
        <w:t>0</w:t>
      </w:r>
      <w:r>
        <w:rPr>
          <w:rFonts w:hint="eastAsia" w:ascii="宋体" w:hAnsi="宋体" w:eastAsia="宋体" w:cs="宋体"/>
          <w:color w:val="333333"/>
          <w:kern w:val="0"/>
          <w:sz w:val="24"/>
          <w:szCs w:val="24"/>
        </w:rPr>
        <w:t>00</w:t>
      </w:r>
      <w:r>
        <w:rPr>
          <w:rFonts w:hint="eastAsia" w:ascii="宋体" w:hAnsi="宋体" w:eastAsia="宋体" w:cs="宋体"/>
          <w:kern w:val="0"/>
          <w:sz w:val="24"/>
          <w:szCs w:val="24"/>
        </w:rPr>
        <w:t>元</w:t>
      </w:r>
      <w:r>
        <w:rPr>
          <w:rFonts w:hint="eastAsia" w:ascii="宋体" w:hAnsi="宋体" w:eastAsia="宋体" w:cs="宋体"/>
          <w:color w:val="333333"/>
          <w:kern w:val="0"/>
          <w:sz w:val="24"/>
          <w:szCs w:val="24"/>
        </w:rPr>
        <w:t xml:space="preserve">， 大写（人民币）： </w:t>
      </w:r>
      <w:r>
        <w:rPr>
          <w:rFonts w:hint="eastAsia" w:ascii="宋体" w:hAnsi="宋体" w:eastAsia="宋体" w:cs="宋体"/>
          <w:color w:val="333333"/>
          <w:kern w:val="0"/>
          <w:sz w:val="24"/>
          <w:szCs w:val="24"/>
          <w:lang w:val="en-US" w:eastAsia="zh-CN"/>
        </w:rPr>
        <w:t>伍拾壹万元整</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（五）项目概况：</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 2022年度西华大学</w:t>
      </w:r>
      <w:r>
        <w:rPr>
          <w:rFonts w:ascii="宋体" w:hAnsi="宋体" w:eastAsia="宋体" w:cs="宋体"/>
          <w:color w:val="333333"/>
          <w:kern w:val="0"/>
          <w:sz w:val="24"/>
          <w:szCs w:val="24"/>
        </w:rPr>
        <w:t>行政办公家具</w:t>
      </w:r>
      <w:r>
        <w:rPr>
          <w:rFonts w:hint="eastAsia" w:ascii="宋体" w:hAnsi="宋体" w:eastAsia="宋体" w:cs="宋体"/>
          <w:color w:val="333333"/>
          <w:kern w:val="0"/>
          <w:sz w:val="24"/>
          <w:szCs w:val="24"/>
        </w:rPr>
        <w:t>采购</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（六）本项目是否有为采购项目提供整体设计、规范编制或者项目管理、监理、检测等服务的供应商：□是（填以下信息）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 xml:space="preserve"> </w:t>
      </w:r>
      <w:r>
        <w:rPr>
          <w:rFonts w:hint="eastAsia" w:ascii="宋体" w:hAnsi="宋体" w:eastAsia="宋体" w:cs="宋体"/>
          <w:color w:val="0070C0"/>
          <w:kern w:val="0"/>
          <w:sz w:val="24"/>
          <w:szCs w:val="24"/>
        </w:rPr>
        <w:t>☑</w:t>
      </w:r>
      <w:r>
        <w:rPr>
          <w:rFonts w:hint="eastAsia" w:ascii="宋体" w:hAnsi="宋体" w:eastAsia="宋体" w:cs="宋体"/>
          <w:color w:val="333333"/>
          <w:kern w:val="0"/>
          <w:sz w:val="24"/>
          <w:szCs w:val="24"/>
        </w:rPr>
        <w:t>否</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供应商名称：</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供应商统一社会信用代码：</w:t>
      </w:r>
    </w:p>
    <w:p>
      <w:pPr>
        <w:widowControl/>
        <w:shd w:val="clear" w:color="auto" w:fill="FFFFFF"/>
        <w:spacing w:line="480" w:lineRule="auto"/>
        <w:outlineLvl w:val="2"/>
        <w:rPr>
          <w:rFonts w:ascii="宋体" w:hAnsi="宋体" w:eastAsia="宋体" w:cs="宋体"/>
          <w:b/>
          <w:bCs/>
          <w:color w:val="FF0000"/>
          <w:kern w:val="0"/>
          <w:sz w:val="27"/>
          <w:szCs w:val="27"/>
        </w:rPr>
      </w:pPr>
      <w:r>
        <w:rPr>
          <w:rFonts w:hint="eastAsia" w:ascii="宋体" w:hAnsi="宋体" w:eastAsia="宋体" w:cs="宋体"/>
          <w:b/>
          <w:bCs/>
          <w:color w:val="FF0000"/>
          <w:kern w:val="0"/>
          <w:sz w:val="27"/>
          <w:szCs w:val="27"/>
        </w:rPr>
        <w:t>二、项目需求调查情况</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依据《政府采购需求管理办法》的规定，</w:t>
      </w:r>
      <w:r>
        <w:rPr>
          <w:rFonts w:hint="eastAsia" w:ascii="宋体" w:hAnsi="宋体" w:eastAsia="宋体" w:cs="宋体"/>
          <w:kern w:val="0"/>
          <w:sz w:val="24"/>
          <w:szCs w:val="24"/>
        </w:rPr>
        <w:t>□</w:t>
      </w:r>
      <w:r>
        <w:rPr>
          <w:rFonts w:hint="eastAsia" w:ascii="宋体" w:hAnsi="宋体" w:eastAsia="宋体" w:cs="宋体"/>
          <w:color w:val="333333"/>
          <w:kern w:val="0"/>
          <w:sz w:val="24"/>
          <w:szCs w:val="24"/>
        </w:rPr>
        <w:t>本项目</w:t>
      </w:r>
      <w:r>
        <w:rPr>
          <w:rFonts w:hint="eastAsia" w:ascii="宋体" w:hAnsi="宋体" w:eastAsia="宋体" w:cs="宋体"/>
          <w:kern w:val="0"/>
          <w:sz w:val="24"/>
          <w:szCs w:val="24"/>
        </w:rPr>
        <w:t xml:space="preserve">需要（填以下信息）       </w:t>
      </w:r>
      <w:r>
        <w:rPr>
          <w:rFonts w:hint="eastAsia" w:ascii="宋体" w:hAnsi="宋体" w:eastAsia="宋体" w:cs="宋体"/>
          <w:color w:val="0070C0"/>
          <w:kern w:val="0"/>
          <w:sz w:val="24"/>
          <w:szCs w:val="24"/>
        </w:rPr>
        <w:t>☑</w:t>
      </w:r>
      <w:r>
        <w:rPr>
          <w:rFonts w:hint="eastAsia" w:ascii="宋体" w:hAnsi="宋体" w:eastAsia="宋体" w:cs="宋体"/>
          <w:kern w:val="0"/>
          <w:sz w:val="24"/>
          <w:szCs w:val="24"/>
        </w:rPr>
        <w:t>不需要  需求调</w:t>
      </w:r>
      <w:r>
        <w:rPr>
          <w:rFonts w:hint="eastAsia" w:ascii="宋体" w:hAnsi="宋体" w:eastAsia="宋体" w:cs="宋体"/>
          <w:color w:val="333333"/>
          <w:kern w:val="0"/>
          <w:sz w:val="24"/>
          <w:szCs w:val="24"/>
        </w:rPr>
        <w:t>查，具体情况如下：</w:t>
      </w:r>
    </w:p>
    <w:p>
      <w:pPr>
        <w:widowControl/>
        <w:shd w:val="clear" w:color="auto" w:fill="FFFFFF"/>
        <w:spacing w:line="480" w:lineRule="auto"/>
        <w:ind w:firstLine="420"/>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·本项目属于以下应当展开需求的情形</w:t>
      </w:r>
    </w:p>
    <w:p>
      <w:pPr>
        <w:widowControl/>
        <w:shd w:val="clear" w:color="auto" w:fill="FFFFFF"/>
        <w:spacing w:line="480" w:lineRule="auto"/>
        <w:ind w:left="420"/>
        <w:rPr>
          <w:rFonts w:ascii="宋体" w:hAnsi="宋体" w:eastAsia="宋体" w:cs="宋体"/>
          <w:color w:val="000000"/>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000000"/>
          <w:kern w:val="0"/>
          <w:sz w:val="24"/>
          <w:szCs w:val="24"/>
        </w:rPr>
        <w:t xml:space="preserve"> 1000万元以上的货物、服务采购项目，3000万元以上的工程采购项目；</w:t>
      </w:r>
    </w:p>
    <w:p>
      <w:pPr>
        <w:widowControl/>
        <w:shd w:val="clear" w:color="auto" w:fill="FFFFFF"/>
        <w:spacing w:line="480" w:lineRule="auto"/>
        <w:ind w:left="420"/>
        <w:rPr>
          <w:rFonts w:ascii="宋体" w:hAnsi="宋体" w:eastAsia="宋体" w:cs="宋体"/>
          <w:color w:val="000000"/>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涉及公共利益、社会关注度较高的采购项目，包括政府向社会公众提供的公共服务项目等；</w:t>
      </w:r>
    </w:p>
    <w:p>
      <w:pPr>
        <w:widowControl/>
        <w:shd w:val="clear" w:color="auto" w:fill="FFFFFF"/>
        <w:spacing w:line="480" w:lineRule="auto"/>
        <w:ind w:left="420"/>
        <w:rPr>
          <w:rFonts w:ascii="宋体" w:hAnsi="宋体" w:eastAsia="宋体" w:cs="宋体"/>
          <w:color w:val="000000"/>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技术复杂、专业性较强的项目，包括需定制开发的信息化建设项目、采购进口产品的项目等；</w:t>
      </w:r>
    </w:p>
    <w:p>
      <w:pPr>
        <w:widowControl/>
        <w:shd w:val="clear" w:color="auto" w:fill="FFFFFF"/>
        <w:spacing w:line="480" w:lineRule="auto"/>
        <w:ind w:left="420"/>
        <w:rPr>
          <w:rFonts w:ascii="宋体" w:hAnsi="宋体" w:eastAsia="宋体" w:cs="宋体"/>
          <w:color w:val="000000"/>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主管预算单位或者采购人认为需要开展需求调查的其他采购项目。</w:t>
      </w:r>
    </w:p>
    <w:p>
      <w:pPr>
        <w:widowControl/>
        <w:shd w:val="clear" w:color="auto" w:fill="FFFFFF"/>
        <w:spacing w:line="480" w:lineRule="auto"/>
        <w:ind w:firstLine="420"/>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·本项目属于以下可以不再重复开展需求调查的情形</w:t>
      </w:r>
    </w:p>
    <w:p>
      <w:pPr>
        <w:widowControl/>
        <w:shd w:val="clear" w:color="auto" w:fill="FFFFFF"/>
        <w:spacing w:line="480" w:lineRule="auto"/>
        <w:ind w:firstLine="420"/>
        <w:rPr>
          <w:rFonts w:ascii="宋体" w:hAnsi="宋体" w:eastAsia="宋体" w:cs="宋体"/>
          <w:color w:val="000000"/>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编制采购需求前一年内，采购人已就相关采购标的开展过需求调查的可以不再重复开展。</w:t>
      </w:r>
    </w:p>
    <w:p>
      <w:pPr>
        <w:widowControl/>
        <w:shd w:val="clear" w:color="auto" w:fill="FFFFFF"/>
        <w:spacing w:line="480" w:lineRule="auto"/>
        <w:ind w:firstLine="420"/>
        <w:rPr>
          <w:rFonts w:ascii="宋体" w:hAnsi="宋体" w:eastAsia="宋体" w:cs="宋体"/>
          <w:color w:val="000000"/>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000000"/>
          <w:kern w:val="0"/>
          <w:sz w:val="24"/>
          <w:szCs w:val="24"/>
        </w:rPr>
        <w:t>按照法律法规的规定，对采购项目开展可行性研究等前期工作，已包含需求调查内容的，可以不再重复调查</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（一）需求调查方式:</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□咨询  □论证  □调查问卷</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（二）需求调查对象:</w:t>
      </w:r>
    </w:p>
    <w:p>
      <w:pPr>
        <w:widowControl/>
        <w:shd w:val="clear" w:color="auto" w:fill="FFFFFF"/>
        <w:spacing w:line="480" w:lineRule="auto"/>
        <w:ind w:firstLine="420"/>
        <w:rPr>
          <w:rFonts w:ascii="宋体" w:hAnsi="宋体" w:eastAsia="宋体" w:cs="宋体"/>
          <w:color w:val="333333"/>
          <w:kern w:val="0"/>
          <w:sz w:val="24"/>
          <w:szCs w:val="24"/>
        </w:rPr>
      </w:pP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（三）需求调查结果</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1.相关产业发展情况:</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2.市场供给情况:</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3.同类采购项目历史成交信息情况:</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4.可能涉及的运行维护、升级更新、备品备件、耗材等后续采购情况:</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5.其他相关情况:</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outlineLvl w:val="2"/>
        <w:rPr>
          <w:rFonts w:ascii="宋体" w:hAnsi="宋体" w:eastAsia="宋体" w:cs="宋体"/>
          <w:b/>
          <w:bCs/>
          <w:color w:val="333333"/>
          <w:kern w:val="0"/>
          <w:sz w:val="27"/>
          <w:szCs w:val="27"/>
        </w:rPr>
      </w:pPr>
      <w:r>
        <w:rPr>
          <w:rFonts w:hint="eastAsia" w:ascii="宋体" w:hAnsi="宋体" w:eastAsia="宋体" w:cs="宋体"/>
          <w:b/>
          <w:bCs/>
          <w:color w:val="333333"/>
          <w:kern w:val="0"/>
          <w:sz w:val="27"/>
          <w:szCs w:val="27"/>
        </w:rPr>
        <w:t>三、项目采购实施计划</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（一）采购组织形式：</w:t>
      </w:r>
      <w:r>
        <w:rPr>
          <w:rFonts w:hint="eastAsia" w:ascii="宋体" w:hAnsi="宋体" w:eastAsia="宋体" w:cs="宋体"/>
          <w:color w:val="0070C0"/>
          <w:kern w:val="0"/>
          <w:sz w:val="24"/>
          <w:szCs w:val="24"/>
        </w:rPr>
        <w:t>☑</w:t>
      </w:r>
      <w:r>
        <w:rPr>
          <w:rFonts w:hint="eastAsia" w:ascii="宋体" w:hAnsi="宋体" w:eastAsia="宋体" w:cs="宋体"/>
          <w:color w:val="333333"/>
          <w:kern w:val="0"/>
          <w:sz w:val="24"/>
          <w:szCs w:val="24"/>
        </w:rPr>
        <w:t xml:space="preserve">政府集中采购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□部门集中采购  □分散采购</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 </w:t>
      </w:r>
      <w:r>
        <w:rPr>
          <w:rFonts w:hint="eastAsia" w:ascii="宋体" w:hAnsi="宋体" w:eastAsia="宋体" w:cs="宋体"/>
          <w:color w:val="FF0000"/>
          <w:kern w:val="0"/>
          <w:sz w:val="24"/>
          <w:szCs w:val="24"/>
        </w:rPr>
        <w:t>（二）采购方式</w:t>
      </w:r>
      <w:r>
        <w:rPr>
          <w:rFonts w:ascii="宋体" w:hAnsi="宋体" w:eastAsia="宋体" w:cs="宋体"/>
          <w:color w:val="FF0000"/>
          <w:kern w:val="0"/>
          <w:sz w:val="24"/>
          <w:szCs w:val="24"/>
        </w:rPr>
        <w:t>：</w:t>
      </w:r>
      <w:r>
        <w:rPr>
          <w:rFonts w:hint="eastAsia" w:ascii="宋体" w:hAnsi="宋体" w:eastAsia="宋体" w:cs="宋体"/>
          <w:color w:val="0070C0"/>
          <w:kern w:val="0"/>
          <w:sz w:val="24"/>
          <w:szCs w:val="24"/>
        </w:rPr>
        <w:t>☑</w:t>
      </w:r>
      <w:r>
        <w:rPr>
          <w:rFonts w:hint="eastAsia" w:ascii="宋体" w:hAnsi="宋体" w:eastAsia="宋体" w:cs="宋体"/>
          <w:color w:val="333333"/>
          <w:kern w:val="0"/>
          <w:sz w:val="24"/>
          <w:szCs w:val="24"/>
        </w:rPr>
        <w:t>公开招标  □邀请</w:t>
      </w:r>
      <w:r>
        <w:rPr>
          <w:rFonts w:ascii="宋体" w:hAnsi="宋体" w:eastAsia="宋体" w:cs="宋体"/>
          <w:color w:val="333333"/>
          <w:kern w:val="0"/>
          <w:sz w:val="24"/>
          <w:szCs w:val="24"/>
        </w:rPr>
        <w:t>招标</w:t>
      </w:r>
      <w:r>
        <w:rPr>
          <w:rFonts w:hint="eastAsia" w:ascii="宋体" w:hAnsi="宋体" w:eastAsia="宋体" w:cs="宋体"/>
          <w:color w:val="333333"/>
          <w:kern w:val="0"/>
          <w:sz w:val="24"/>
          <w:szCs w:val="24"/>
        </w:rPr>
        <w:t xml:space="preserve">  □竞争性谈判  □询价     □单一来源  □竞争性</w:t>
      </w:r>
      <w:r>
        <w:rPr>
          <w:rFonts w:ascii="宋体" w:hAnsi="宋体" w:eastAsia="宋体" w:cs="宋体"/>
          <w:color w:val="333333"/>
          <w:kern w:val="0"/>
          <w:sz w:val="24"/>
          <w:szCs w:val="24"/>
        </w:rPr>
        <w:t>磋商</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（三）本项目是否单位自行组织采购：否</w:t>
      </w:r>
    </w:p>
    <w:p>
      <w:pPr>
        <w:widowControl/>
        <w:shd w:val="clear" w:color="auto" w:fill="FFFFFF"/>
        <w:spacing w:line="480" w:lineRule="auto"/>
        <w:ind w:firstLine="420"/>
        <w:rPr>
          <w:sz w:val="24"/>
        </w:rPr>
      </w:pPr>
      <w:r>
        <w:rPr>
          <w:rFonts w:hint="eastAsia" w:ascii="宋体" w:hAnsi="宋体" w:eastAsia="宋体" w:cs="宋体"/>
          <w:color w:val="333333"/>
          <w:kern w:val="0"/>
          <w:sz w:val="24"/>
          <w:szCs w:val="24"/>
        </w:rPr>
        <w:t>（四）采购包划分</w:t>
      </w:r>
      <w:r>
        <w:rPr>
          <w:rFonts w:hint="eastAsia"/>
        </w:rPr>
        <w:t>：</w:t>
      </w:r>
      <w:r>
        <w:rPr>
          <w:rFonts w:hint="eastAsia"/>
          <w:sz w:val="24"/>
        </w:rPr>
        <w:t>不分包采购</w:t>
      </w:r>
    </w:p>
    <w:p>
      <w:pPr>
        <w:widowControl/>
        <w:shd w:val="clear" w:color="auto" w:fill="FFFFFF"/>
        <w:spacing w:line="480" w:lineRule="auto"/>
        <w:ind w:firstLine="420"/>
        <w:rPr>
          <w:color w:val="FF0000"/>
          <w:sz w:val="24"/>
        </w:rPr>
      </w:pPr>
      <w:r>
        <w:rPr>
          <w:rFonts w:hint="eastAsia"/>
          <w:color w:val="FF0000"/>
          <w:sz w:val="24"/>
        </w:rPr>
        <w:t>包</w:t>
      </w:r>
      <w:r>
        <w:rPr>
          <w:color w:val="FF0000"/>
          <w:sz w:val="24"/>
        </w:rPr>
        <w:t>名称：</w:t>
      </w:r>
      <w:r>
        <w:rPr>
          <w:rFonts w:hint="eastAsia"/>
          <w:color w:val="0000FF"/>
          <w:sz w:val="24"/>
        </w:rPr>
        <w:t>西华大学2022年</w:t>
      </w:r>
      <w:r>
        <w:rPr>
          <w:rFonts w:hint="eastAsia"/>
          <w:color w:val="0000FF"/>
          <w:sz w:val="24"/>
          <w:lang w:val="en-US" w:eastAsia="zh-CN"/>
        </w:rPr>
        <w:t>教师</w:t>
      </w:r>
      <w:r>
        <w:rPr>
          <w:rFonts w:hint="eastAsia"/>
          <w:color w:val="0000FF"/>
          <w:sz w:val="24"/>
        </w:rPr>
        <w:t>办公家具采购项目</w:t>
      </w:r>
      <w:r>
        <w:rPr>
          <w:rFonts w:hint="eastAsia"/>
          <w:color w:val="FF0000"/>
          <w:sz w:val="24"/>
        </w:rPr>
        <w:t xml:space="preserve"> </w:t>
      </w:r>
      <w:r>
        <w:rPr>
          <w:color w:val="FF0000"/>
          <w:sz w:val="24"/>
        </w:rPr>
        <w:t xml:space="preserve"> </w:t>
      </w:r>
      <w:r>
        <w:rPr>
          <w:rFonts w:hint="eastAsia"/>
          <w:color w:val="FF0000"/>
          <w:sz w:val="24"/>
        </w:rPr>
        <w:t>最高</w:t>
      </w:r>
      <w:r>
        <w:rPr>
          <w:color w:val="FF0000"/>
          <w:sz w:val="24"/>
        </w:rPr>
        <w:t>限价</w:t>
      </w:r>
      <w:r>
        <w:rPr>
          <w:rFonts w:hint="eastAsia"/>
          <w:color w:val="FF0000"/>
          <w:sz w:val="24"/>
        </w:rPr>
        <w:t>（元）</w:t>
      </w:r>
      <w:r>
        <w:rPr>
          <w:color w:val="FF0000"/>
          <w:sz w:val="24"/>
        </w:rPr>
        <w:t>：</w:t>
      </w:r>
      <w:r>
        <w:rPr>
          <w:rFonts w:hint="eastAsia"/>
          <w:color w:val="FF0000"/>
          <w:sz w:val="24"/>
          <w:lang w:val="en-US" w:eastAsia="zh-CN"/>
        </w:rPr>
        <w:t>510000元</w:t>
      </w:r>
      <w:r>
        <w:rPr>
          <w:rFonts w:hint="eastAsia"/>
          <w:color w:val="FF0000"/>
          <w:sz w:val="24"/>
        </w:rPr>
        <w:t xml:space="preserve">     </w:t>
      </w:r>
    </w:p>
    <w:p>
      <w:pPr>
        <w:widowControl/>
        <w:shd w:val="clear" w:color="auto" w:fill="FFFFFF"/>
        <w:spacing w:line="480" w:lineRule="auto"/>
        <w:ind w:firstLine="420"/>
        <w:rPr>
          <w:sz w:val="24"/>
        </w:rPr>
      </w:pPr>
      <w:r>
        <w:rPr>
          <w:rFonts w:hint="eastAsia"/>
          <w:color w:val="FF0000"/>
          <w:sz w:val="24"/>
        </w:rPr>
        <w:t>定价方式：</w:t>
      </w:r>
      <w:r>
        <w:rPr>
          <w:rFonts w:hint="eastAsia" w:ascii="宋体" w:hAnsi="宋体" w:eastAsia="宋体" w:cs="宋体"/>
          <w:color w:val="333333"/>
          <w:kern w:val="0"/>
          <w:sz w:val="24"/>
          <w:szCs w:val="24"/>
        </w:rPr>
        <w:t>☑</w:t>
      </w:r>
      <w:r>
        <w:rPr>
          <w:rFonts w:hint="eastAsia"/>
          <w:sz w:val="24"/>
        </w:rPr>
        <w:t xml:space="preserve">固定总价 </w:t>
      </w:r>
      <w:r>
        <w:rPr>
          <w:sz w:val="24"/>
        </w:rPr>
        <w:t xml:space="preserve"> </w:t>
      </w:r>
      <w:r>
        <w:rPr>
          <w:rFonts w:hint="eastAsia"/>
          <w:sz w:val="24"/>
        </w:rPr>
        <w:t xml:space="preserve"> </w:t>
      </w:r>
      <w:r>
        <w:rPr>
          <w:rFonts w:hint="eastAsia" w:ascii="宋体" w:hAnsi="宋体" w:eastAsia="宋体" w:cs="宋体"/>
          <w:color w:val="333333"/>
          <w:kern w:val="0"/>
          <w:sz w:val="24"/>
          <w:szCs w:val="24"/>
        </w:rPr>
        <w:t>□</w:t>
      </w:r>
      <w:r>
        <w:rPr>
          <w:rFonts w:hint="eastAsia"/>
          <w:sz w:val="24"/>
        </w:rPr>
        <w:t xml:space="preserve">固定单价 </w:t>
      </w:r>
      <w:r>
        <w:rPr>
          <w:sz w:val="24"/>
        </w:rPr>
        <w:t xml:space="preserve"> </w:t>
      </w:r>
      <w:r>
        <w:rPr>
          <w:rFonts w:hint="eastAsia"/>
          <w:sz w:val="24"/>
        </w:rPr>
        <w:t xml:space="preserve"> </w:t>
      </w:r>
      <w:r>
        <w:rPr>
          <w:rFonts w:hint="eastAsia" w:ascii="宋体" w:hAnsi="宋体" w:eastAsia="宋体" w:cs="宋体"/>
          <w:color w:val="333333"/>
          <w:kern w:val="0"/>
          <w:sz w:val="24"/>
          <w:szCs w:val="24"/>
        </w:rPr>
        <w:t>□</w:t>
      </w:r>
      <w:r>
        <w:rPr>
          <w:rFonts w:hint="eastAsia"/>
          <w:sz w:val="24"/>
        </w:rPr>
        <w:t>其他（</w:t>
      </w:r>
      <w:r>
        <w:rPr>
          <w:sz w:val="24"/>
        </w:rPr>
        <w:t>定价方式名称：</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p>
    <w:p>
      <w:pPr>
        <w:widowControl/>
        <w:shd w:val="clear" w:color="auto" w:fill="FFFFFF"/>
        <w:spacing w:line="480" w:lineRule="auto"/>
        <w:ind w:firstLine="420"/>
        <w:rPr>
          <w:sz w:val="24"/>
        </w:rPr>
      </w:pPr>
      <w:r>
        <w:rPr>
          <w:rFonts w:hint="eastAsia"/>
          <w:sz w:val="24"/>
        </w:rPr>
        <w:t>品目信息一</w:t>
      </w:r>
    </w:p>
    <w:p>
      <w:pPr>
        <w:widowControl/>
        <w:shd w:val="clear" w:color="auto" w:fill="FFFFFF"/>
        <w:spacing w:line="480" w:lineRule="auto"/>
        <w:ind w:firstLine="420"/>
        <w:rPr>
          <w:color w:val="FF0000"/>
          <w:sz w:val="24"/>
        </w:rPr>
      </w:pPr>
      <w:r>
        <w:rPr>
          <w:rFonts w:hint="eastAsia"/>
          <w:color w:val="FF0000"/>
          <w:sz w:val="24"/>
        </w:rPr>
        <w:t>标的名称：</w:t>
      </w:r>
      <w:r>
        <w:rPr>
          <w:rFonts w:hint="eastAsia"/>
          <w:color w:val="0000FF"/>
          <w:sz w:val="24"/>
        </w:rPr>
        <w:t>西华大学2022年</w:t>
      </w:r>
      <w:r>
        <w:rPr>
          <w:rFonts w:hint="eastAsia"/>
          <w:color w:val="0000FF"/>
          <w:sz w:val="24"/>
          <w:lang w:val="en-US" w:eastAsia="zh-CN"/>
        </w:rPr>
        <w:t>教师</w:t>
      </w:r>
      <w:r>
        <w:rPr>
          <w:rFonts w:hint="eastAsia"/>
          <w:color w:val="0000FF"/>
          <w:sz w:val="24"/>
        </w:rPr>
        <w:t>办公家具采购项目</w:t>
      </w:r>
      <w:r>
        <w:rPr>
          <w:rFonts w:hint="eastAsia"/>
          <w:color w:val="FF0000"/>
          <w:sz w:val="24"/>
        </w:rPr>
        <w:t xml:space="preserve"> 计量单位</w:t>
      </w:r>
      <w:r>
        <w:rPr>
          <w:color w:val="FF0000"/>
          <w:sz w:val="24"/>
        </w:rPr>
        <w:t>：</w:t>
      </w:r>
      <w:r>
        <w:rPr>
          <w:rFonts w:hint="eastAsia"/>
          <w:color w:val="0000FF"/>
          <w:sz w:val="24"/>
        </w:rPr>
        <w:t xml:space="preserve">批 </w:t>
      </w:r>
      <w:r>
        <w:rPr>
          <w:rFonts w:hint="eastAsia"/>
          <w:color w:val="FF0000"/>
          <w:sz w:val="24"/>
        </w:rPr>
        <w:t xml:space="preserve"> 数量： </w:t>
      </w:r>
      <w:r>
        <w:rPr>
          <w:rFonts w:hint="eastAsia"/>
          <w:color w:val="0000FF"/>
          <w:sz w:val="24"/>
        </w:rPr>
        <w:t>1</w:t>
      </w:r>
      <w:r>
        <w:rPr>
          <w:rFonts w:hint="eastAsia"/>
          <w:color w:val="FF0000"/>
          <w:sz w:val="24"/>
        </w:rPr>
        <w:t xml:space="preserve">    </w:t>
      </w:r>
    </w:p>
    <w:p>
      <w:pPr>
        <w:widowControl/>
        <w:shd w:val="clear" w:color="auto" w:fill="FFFFFF"/>
        <w:spacing w:line="480" w:lineRule="auto"/>
        <w:ind w:firstLine="420"/>
        <w:rPr>
          <w:color w:val="FF0000"/>
          <w:sz w:val="24"/>
        </w:rPr>
      </w:pPr>
      <w:r>
        <w:rPr>
          <w:rFonts w:hint="eastAsia"/>
          <w:color w:val="FF0000"/>
          <w:sz w:val="24"/>
        </w:rPr>
        <w:t>单价（元）</w:t>
      </w:r>
      <w:r>
        <w:rPr>
          <w:color w:val="FF0000"/>
          <w:sz w:val="24"/>
        </w:rPr>
        <w:t>：</w:t>
      </w:r>
      <w:r>
        <w:rPr>
          <w:rFonts w:hint="eastAsia"/>
          <w:color w:val="FF0000"/>
          <w:sz w:val="24"/>
        </w:rPr>
        <w:t xml:space="preserve">   </w:t>
      </w:r>
      <w:r>
        <w:rPr>
          <w:color w:val="FF0000"/>
          <w:sz w:val="24"/>
        </w:rPr>
        <w:t xml:space="preserve">           </w:t>
      </w:r>
      <w:r>
        <w:rPr>
          <w:rFonts w:hint="eastAsia"/>
          <w:color w:val="FF0000"/>
          <w:sz w:val="24"/>
        </w:rPr>
        <w:t>该品目预算(元)：</w:t>
      </w:r>
    </w:p>
    <w:p>
      <w:pPr>
        <w:widowControl/>
        <w:shd w:val="clear" w:color="auto" w:fill="FFFFFF"/>
        <w:spacing w:line="480" w:lineRule="auto"/>
        <w:ind w:firstLine="420"/>
        <w:rPr>
          <w:sz w:val="24"/>
        </w:rPr>
      </w:pPr>
      <w:r>
        <w:rPr>
          <w:rFonts w:hint="eastAsia"/>
          <w:sz w:val="24"/>
        </w:rPr>
        <w:t>所属</w:t>
      </w:r>
      <w:r>
        <w:rPr>
          <w:sz w:val="24"/>
        </w:rPr>
        <w:t>行业：</w:t>
      </w:r>
      <w:r>
        <w:rPr>
          <w:rFonts w:hint="eastAsia" w:ascii="宋体" w:hAnsi="宋体" w:eastAsia="宋体" w:cs="宋体"/>
          <w:color w:val="333333"/>
          <w:kern w:val="0"/>
          <w:sz w:val="24"/>
          <w:szCs w:val="24"/>
        </w:rPr>
        <w:t>□</w:t>
      </w:r>
      <w:r>
        <w:rPr>
          <w:rFonts w:hint="eastAsia"/>
          <w:sz w:val="24"/>
        </w:rPr>
        <w:t>农、林、牧、渔业　　</w:t>
      </w:r>
      <w:r>
        <w:rPr>
          <w:rFonts w:hint="eastAsia" w:ascii="宋体" w:hAnsi="宋体" w:eastAsia="宋体" w:cs="宋体"/>
          <w:color w:val="333333"/>
          <w:kern w:val="0"/>
          <w:sz w:val="24"/>
          <w:szCs w:val="24"/>
        </w:rPr>
        <w:t>□</w:t>
      </w:r>
      <w:r>
        <w:rPr>
          <w:rFonts w:hint="eastAsia"/>
          <w:sz w:val="24"/>
        </w:rPr>
        <w:t xml:space="preserve">工业   </w:t>
      </w:r>
      <w:r>
        <w:rPr>
          <w:rFonts w:hint="eastAsia" w:ascii="宋体" w:hAnsi="宋体" w:eastAsia="宋体" w:cs="宋体"/>
          <w:color w:val="333333"/>
          <w:kern w:val="0"/>
          <w:sz w:val="24"/>
          <w:szCs w:val="24"/>
        </w:rPr>
        <w:t>□</w:t>
      </w:r>
      <w:r>
        <w:rPr>
          <w:rFonts w:hint="eastAsia"/>
          <w:sz w:val="24"/>
        </w:rPr>
        <w:t xml:space="preserve">建筑业  </w:t>
      </w:r>
      <w:r>
        <w:rPr>
          <w:rFonts w:hint="eastAsia" w:ascii="宋体" w:hAnsi="宋体" w:eastAsia="宋体" w:cs="宋体"/>
          <w:color w:val="333333"/>
          <w:kern w:val="0"/>
          <w:sz w:val="24"/>
          <w:szCs w:val="24"/>
        </w:rPr>
        <w:t>□</w:t>
      </w:r>
      <w:r>
        <w:rPr>
          <w:rFonts w:hint="eastAsia"/>
          <w:sz w:val="24"/>
        </w:rPr>
        <w:t xml:space="preserve">批发业  </w:t>
      </w:r>
      <w:r>
        <w:rPr>
          <w:rFonts w:hint="eastAsia"/>
          <w:color w:val="0070C0"/>
          <w:sz w:val="24"/>
        </w:rPr>
        <w:t>☑</w:t>
      </w:r>
      <w:r>
        <w:rPr>
          <w:rFonts w:hint="eastAsia"/>
          <w:sz w:val="24"/>
        </w:rPr>
        <w:t xml:space="preserve">零售业  </w:t>
      </w:r>
      <w:r>
        <w:rPr>
          <w:rFonts w:hint="eastAsia" w:ascii="宋体" w:hAnsi="宋体" w:eastAsia="宋体" w:cs="宋体"/>
          <w:color w:val="333333"/>
          <w:kern w:val="0"/>
          <w:sz w:val="24"/>
          <w:szCs w:val="24"/>
        </w:rPr>
        <w:t>□</w:t>
      </w:r>
      <w:r>
        <w:rPr>
          <w:rFonts w:hint="eastAsia"/>
          <w:sz w:val="24"/>
        </w:rPr>
        <w:t xml:space="preserve">交通运输业  </w:t>
      </w:r>
      <w:r>
        <w:rPr>
          <w:rFonts w:hint="eastAsia" w:ascii="宋体" w:hAnsi="宋体" w:eastAsia="宋体" w:cs="宋体"/>
          <w:color w:val="333333"/>
          <w:kern w:val="0"/>
          <w:sz w:val="24"/>
          <w:szCs w:val="24"/>
        </w:rPr>
        <w:t>□</w:t>
      </w:r>
      <w:r>
        <w:rPr>
          <w:rFonts w:hint="eastAsia"/>
          <w:sz w:val="24"/>
        </w:rPr>
        <w:t xml:space="preserve">仓储业  </w:t>
      </w:r>
      <w:r>
        <w:rPr>
          <w:rFonts w:hint="eastAsia" w:ascii="宋体" w:hAnsi="宋体" w:eastAsia="宋体" w:cs="宋体"/>
          <w:color w:val="333333"/>
          <w:kern w:val="0"/>
          <w:sz w:val="24"/>
          <w:szCs w:val="24"/>
        </w:rPr>
        <w:t>□</w:t>
      </w:r>
      <w:r>
        <w:rPr>
          <w:rFonts w:hint="eastAsia"/>
          <w:sz w:val="24"/>
        </w:rPr>
        <w:t xml:space="preserve">邮政业  </w:t>
      </w:r>
      <w:r>
        <w:rPr>
          <w:rFonts w:hint="eastAsia" w:ascii="宋体" w:hAnsi="宋体" w:eastAsia="宋体" w:cs="宋体"/>
          <w:color w:val="333333"/>
          <w:kern w:val="0"/>
          <w:sz w:val="24"/>
          <w:szCs w:val="24"/>
        </w:rPr>
        <w:t>□</w:t>
      </w:r>
      <w:r>
        <w:rPr>
          <w:rFonts w:hint="eastAsia"/>
          <w:sz w:val="24"/>
        </w:rPr>
        <w:t xml:space="preserve">住宿业  </w:t>
      </w:r>
      <w:r>
        <w:rPr>
          <w:rFonts w:hint="eastAsia" w:ascii="宋体" w:hAnsi="宋体" w:eastAsia="宋体" w:cs="宋体"/>
          <w:color w:val="333333"/>
          <w:kern w:val="0"/>
          <w:sz w:val="24"/>
          <w:szCs w:val="24"/>
        </w:rPr>
        <w:t>□</w:t>
      </w:r>
      <w:r>
        <w:rPr>
          <w:rFonts w:hint="eastAsia"/>
          <w:sz w:val="24"/>
        </w:rPr>
        <w:t xml:space="preserve">餐饮业  </w:t>
      </w:r>
      <w:r>
        <w:rPr>
          <w:rFonts w:hint="eastAsia" w:ascii="宋体" w:hAnsi="宋体" w:eastAsia="宋体" w:cs="宋体"/>
          <w:color w:val="333333"/>
          <w:kern w:val="0"/>
          <w:sz w:val="24"/>
          <w:szCs w:val="24"/>
        </w:rPr>
        <w:t>□</w:t>
      </w:r>
      <w:r>
        <w:rPr>
          <w:rFonts w:hint="eastAsia"/>
          <w:sz w:val="24"/>
        </w:rPr>
        <w:t xml:space="preserve">信息传输业  </w:t>
      </w:r>
      <w:r>
        <w:rPr>
          <w:rFonts w:hint="eastAsia" w:ascii="宋体" w:hAnsi="宋体" w:eastAsia="宋体" w:cs="宋体"/>
          <w:color w:val="333333"/>
          <w:kern w:val="0"/>
          <w:sz w:val="24"/>
          <w:szCs w:val="24"/>
        </w:rPr>
        <w:t>□</w:t>
      </w:r>
      <w:r>
        <w:rPr>
          <w:rFonts w:hint="eastAsia"/>
          <w:sz w:val="24"/>
        </w:rPr>
        <w:t xml:space="preserve">软件和信息技术服务业  </w:t>
      </w:r>
      <w:r>
        <w:rPr>
          <w:rFonts w:hint="eastAsia" w:ascii="宋体" w:hAnsi="宋体" w:eastAsia="宋体" w:cs="宋体"/>
          <w:color w:val="333333"/>
          <w:kern w:val="0"/>
          <w:sz w:val="24"/>
          <w:szCs w:val="24"/>
        </w:rPr>
        <w:t>□</w:t>
      </w:r>
      <w:r>
        <w:rPr>
          <w:rFonts w:hint="eastAsia"/>
          <w:sz w:val="24"/>
        </w:rPr>
        <w:t xml:space="preserve">房地产开发经营  </w:t>
      </w:r>
      <w:r>
        <w:rPr>
          <w:rFonts w:hint="eastAsia" w:ascii="宋体" w:hAnsi="宋体" w:eastAsia="宋体" w:cs="宋体"/>
          <w:color w:val="333333"/>
          <w:kern w:val="0"/>
          <w:sz w:val="24"/>
          <w:szCs w:val="24"/>
        </w:rPr>
        <w:t>□</w:t>
      </w:r>
      <w:r>
        <w:rPr>
          <w:rFonts w:hint="eastAsia"/>
          <w:sz w:val="24"/>
        </w:rPr>
        <w:t xml:space="preserve">物业管理  </w:t>
      </w:r>
      <w:r>
        <w:rPr>
          <w:rFonts w:hint="eastAsia" w:ascii="宋体" w:hAnsi="宋体" w:eastAsia="宋体" w:cs="宋体"/>
          <w:color w:val="333333"/>
          <w:kern w:val="0"/>
          <w:sz w:val="24"/>
          <w:szCs w:val="24"/>
        </w:rPr>
        <w:t>□</w:t>
      </w:r>
      <w:r>
        <w:rPr>
          <w:rFonts w:hint="eastAsia"/>
          <w:sz w:val="24"/>
        </w:rPr>
        <w:t xml:space="preserve">租赁和商务服务业  </w:t>
      </w:r>
      <w:r>
        <w:rPr>
          <w:rFonts w:hint="eastAsia" w:ascii="宋体" w:hAnsi="宋体" w:eastAsia="宋体" w:cs="宋体"/>
          <w:color w:val="333333"/>
          <w:kern w:val="0"/>
          <w:sz w:val="24"/>
          <w:szCs w:val="24"/>
        </w:rPr>
        <w:t>□</w:t>
      </w:r>
      <w:r>
        <w:rPr>
          <w:rFonts w:hint="eastAsia"/>
          <w:sz w:val="24"/>
        </w:rPr>
        <w:t>其他未列明行业</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sz w:val="24"/>
        </w:rPr>
        <w:t>节能</w:t>
      </w:r>
      <w:r>
        <w:rPr>
          <w:sz w:val="24"/>
        </w:rPr>
        <w:t>：</w:t>
      </w:r>
      <w:r>
        <w:rPr>
          <w:rFonts w:hint="eastAsia" w:ascii="宋体" w:hAnsi="宋体" w:eastAsia="宋体" w:cs="宋体"/>
          <w:color w:val="333333"/>
          <w:kern w:val="0"/>
          <w:sz w:val="24"/>
          <w:szCs w:val="24"/>
        </w:rPr>
        <w:t xml:space="preserve">□是   </w:t>
      </w:r>
      <w:r>
        <w:rPr>
          <w:rFonts w:hint="eastAsia" w:ascii="宋体" w:hAnsi="宋体" w:eastAsia="宋体" w:cs="宋体"/>
          <w:color w:val="1F4E79" w:themeColor="accent1" w:themeShade="80"/>
          <w:kern w:val="0"/>
          <w:sz w:val="24"/>
          <w:szCs w:val="24"/>
        </w:rPr>
        <w:t>☑</w:t>
      </w:r>
      <w:r>
        <w:rPr>
          <w:rFonts w:hint="eastAsia" w:ascii="宋体" w:hAnsi="宋体" w:eastAsia="宋体" w:cs="宋体"/>
          <w:color w:val="333333"/>
          <w:kern w:val="0"/>
          <w:sz w:val="24"/>
          <w:szCs w:val="24"/>
        </w:rPr>
        <w:t xml:space="preserve">否            </w:t>
      </w:r>
      <w:r>
        <w:rPr>
          <w:rFonts w:hint="eastAsia"/>
          <w:sz w:val="24"/>
        </w:rPr>
        <w:t>环保</w:t>
      </w:r>
      <w:r>
        <w:rPr>
          <w:sz w:val="24"/>
        </w:rPr>
        <w:t>：</w:t>
      </w:r>
      <w:r>
        <w:rPr>
          <w:rFonts w:hint="eastAsia" w:ascii="宋体" w:hAnsi="宋体" w:eastAsia="宋体" w:cs="宋体"/>
          <w:color w:val="1F4E79" w:themeColor="accent1" w:themeShade="80"/>
          <w:kern w:val="0"/>
          <w:sz w:val="24"/>
          <w:szCs w:val="24"/>
        </w:rPr>
        <w:t>☑</w:t>
      </w:r>
      <w:r>
        <w:rPr>
          <w:rFonts w:hint="eastAsia" w:ascii="宋体" w:hAnsi="宋体" w:eastAsia="宋体" w:cs="宋体"/>
          <w:color w:val="333333"/>
          <w:kern w:val="0"/>
          <w:sz w:val="24"/>
          <w:szCs w:val="24"/>
        </w:rPr>
        <w:t>是   □否</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FF0000"/>
          <w:kern w:val="0"/>
          <w:sz w:val="24"/>
          <w:szCs w:val="24"/>
        </w:rPr>
        <w:t>属于</w:t>
      </w:r>
      <w:r>
        <w:rPr>
          <w:rFonts w:ascii="宋体" w:hAnsi="宋体" w:eastAsia="宋体" w:cs="宋体"/>
          <w:color w:val="FF0000"/>
          <w:kern w:val="0"/>
          <w:sz w:val="24"/>
          <w:szCs w:val="24"/>
        </w:rPr>
        <w:t>核心产品：</w:t>
      </w:r>
      <w:r>
        <w:rPr>
          <w:rFonts w:hint="eastAsia" w:ascii="宋体" w:hAnsi="宋体" w:eastAsia="宋体" w:cs="宋体"/>
          <w:color w:val="333333"/>
          <w:kern w:val="0"/>
          <w:sz w:val="24"/>
          <w:szCs w:val="24"/>
        </w:rPr>
        <w:t xml:space="preserve">□是   </w:t>
      </w:r>
      <w:r>
        <w:rPr>
          <w:rFonts w:hint="eastAsia" w:ascii="宋体" w:hAnsi="宋体" w:eastAsia="宋体" w:cs="宋体"/>
          <w:color w:val="1F4E79" w:themeColor="accent1" w:themeShade="80"/>
          <w:kern w:val="0"/>
          <w:sz w:val="24"/>
          <w:szCs w:val="24"/>
        </w:rPr>
        <w:t>☑否</w:t>
      </w:r>
    </w:p>
    <w:p>
      <w:pPr>
        <w:widowControl/>
        <w:shd w:val="clear" w:color="auto" w:fill="FFFFFF"/>
        <w:spacing w:line="480" w:lineRule="auto"/>
        <w:ind w:firstLine="420"/>
        <w:rPr>
          <w:color w:val="FF0000"/>
          <w:sz w:val="24"/>
        </w:rPr>
      </w:pPr>
      <w:r>
        <w:rPr>
          <w:rFonts w:hint="eastAsia" w:ascii="宋体" w:hAnsi="宋体" w:eastAsia="宋体" w:cs="宋体"/>
          <w:color w:val="FF0000"/>
          <w:kern w:val="0"/>
          <w:sz w:val="24"/>
          <w:szCs w:val="24"/>
        </w:rPr>
        <w:t>功能和质量要求 ：</w:t>
      </w:r>
    </w:p>
    <w:p>
      <w:pPr>
        <w:widowControl/>
        <w:shd w:val="clear" w:color="auto" w:fill="FFFFFF"/>
        <w:spacing w:line="480" w:lineRule="auto"/>
        <w:ind w:firstLine="420"/>
        <w:rPr>
          <w:sz w:val="24"/>
        </w:rPr>
      </w:pPr>
    </w:p>
    <w:p>
      <w:pPr>
        <w:widowControl/>
        <w:shd w:val="clear" w:color="auto" w:fill="FFFFFF"/>
        <w:spacing w:line="480" w:lineRule="auto"/>
        <w:ind w:firstLine="420"/>
        <w:rPr>
          <w:color w:val="FF0000"/>
          <w:sz w:val="24"/>
        </w:rPr>
      </w:pPr>
      <w:r>
        <w:rPr>
          <w:rFonts w:hint="eastAsia"/>
          <w:color w:val="FF0000"/>
          <w:sz w:val="24"/>
        </w:rPr>
        <w:t>品目信息二（如有，请</w:t>
      </w:r>
      <w:r>
        <w:rPr>
          <w:color w:val="FF0000"/>
          <w:sz w:val="24"/>
        </w:rPr>
        <w:t>复制</w:t>
      </w:r>
      <w:r>
        <w:rPr>
          <w:rFonts w:hint="eastAsia"/>
          <w:color w:val="FF0000"/>
          <w:sz w:val="24"/>
        </w:rPr>
        <w:t>品目信息一的</w:t>
      </w:r>
      <w:r>
        <w:rPr>
          <w:color w:val="FF0000"/>
          <w:sz w:val="24"/>
        </w:rPr>
        <w:t>填</w:t>
      </w:r>
      <w:r>
        <w:rPr>
          <w:rFonts w:hint="eastAsia"/>
          <w:color w:val="FF0000"/>
          <w:sz w:val="24"/>
        </w:rPr>
        <w:t>写</w:t>
      </w:r>
      <w:r>
        <w:rPr>
          <w:color w:val="FF0000"/>
          <w:sz w:val="24"/>
        </w:rPr>
        <w:t>内容</w:t>
      </w:r>
      <w:r>
        <w:rPr>
          <w:rFonts w:hint="eastAsia"/>
          <w:color w:val="FF0000"/>
          <w:sz w:val="24"/>
        </w:rPr>
        <w:t>）</w:t>
      </w:r>
    </w:p>
    <w:p>
      <w:pPr>
        <w:widowControl/>
        <w:shd w:val="clear" w:color="auto" w:fill="FFFFFF"/>
        <w:spacing w:line="480" w:lineRule="auto"/>
        <w:ind w:firstLine="420"/>
        <w:rPr>
          <w:color w:val="FF0000"/>
          <w:sz w:val="24"/>
        </w:rPr>
      </w:pPr>
      <w:r>
        <w:rPr>
          <w:rFonts w:hint="eastAsia"/>
          <w:color w:val="FF0000"/>
          <w:sz w:val="24"/>
        </w:rPr>
        <w:t>品目信息三（如有，请</w:t>
      </w:r>
      <w:r>
        <w:rPr>
          <w:color w:val="FF0000"/>
          <w:sz w:val="24"/>
        </w:rPr>
        <w:t>复制</w:t>
      </w:r>
      <w:r>
        <w:rPr>
          <w:rFonts w:hint="eastAsia"/>
          <w:color w:val="FF0000"/>
          <w:sz w:val="24"/>
        </w:rPr>
        <w:t>品目信息一的</w:t>
      </w:r>
      <w:r>
        <w:rPr>
          <w:color w:val="FF0000"/>
          <w:sz w:val="24"/>
        </w:rPr>
        <w:t>填</w:t>
      </w:r>
      <w:r>
        <w:rPr>
          <w:rFonts w:hint="eastAsia"/>
          <w:color w:val="FF0000"/>
          <w:sz w:val="24"/>
        </w:rPr>
        <w:t>写</w:t>
      </w:r>
      <w:r>
        <w:rPr>
          <w:color w:val="FF0000"/>
          <w:sz w:val="24"/>
        </w:rPr>
        <w:t>内容</w:t>
      </w:r>
      <w:r>
        <w:rPr>
          <w:rFonts w:hint="eastAsia"/>
          <w:color w:val="FF0000"/>
          <w:sz w:val="24"/>
        </w:rPr>
        <w:t>）</w:t>
      </w:r>
    </w:p>
    <w:p>
      <w:pPr>
        <w:widowControl/>
        <w:shd w:val="clear" w:color="auto" w:fill="FFFFFF"/>
        <w:spacing w:line="480" w:lineRule="auto"/>
        <w:ind w:firstLine="420"/>
        <w:rPr>
          <w:color w:val="FF0000"/>
          <w:sz w:val="24"/>
        </w:rPr>
      </w:pPr>
      <w:r>
        <w:rPr>
          <w:rFonts w:hint="eastAsia"/>
          <w:color w:val="FF0000"/>
          <w:sz w:val="24"/>
        </w:rPr>
        <w:t>……</w:t>
      </w:r>
    </w:p>
    <w:p>
      <w:pPr>
        <w:widowControl/>
        <w:shd w:val="clear" w:color="auto" w:fill="FFFFFF"/>
        <w:spacing w:line="480" w:lineRule="auto"/>
        <w:ind w:firstLine="420"/>
        <w:rPr>
          <w:color w:val="FF0000"/>
          <w:sz w:val="24"/>
        </w:rPr>
      </w:pPr>
      <w:r>
        <w:rPr>
          <w:rFonts w:hint="eastAsia"/>
          <w:color w:val="FF0000"/>
          <w:sz w:val="24"/>
        </w:rPr>
        <w:t>注：如有</w:t>
      </w:r>
      <w:r>
        <w:rPr>
          <w:color w:val="FF0000"/>
          <w:sz w:val="24"/>
        </w:rPr>
        <w:t>多个</w:t>
      </w:r>
      <w:r>
        <w:rPr>
          <w:rFonts w:hint="eastAsia"/>
          <w:color w:val="FF0000"/>
          <w:sz w:val="24"/>
        </w:rPr>
        <w:t>标的，各</w:t>
      </w:r>
      <w:r>
        <w:rPr>
          <w:color w:val="FF0000"/>
          <w:sz w:val="24"/>
        </w:rPr>
        <w:t>标的品目</w:t>
      </w:r>
      <w:r>
        <w:rPr>
          <w:rFonts w:hint="eastAsia"/>
          <w:color w:val="FF0000"/>
          <w:sz w:val="24"/>
        </w:rPr>
        <w:t>预算相加</w:t>
      </w:r>
      <w:r>
        <w:rPr>
          <w:color w:val="FF0000"/>
          <w:sz w:val="24"/>
        </w:rPr>
        <w:t>应等于</w:t>
      </w:r>
      <w:r>
        <w:rPr>
          <w:rFonts w:hint="eastAsia"/>
          <w:color w:val="FF0000"/>
          <w:sz w:val="24"/>
        </w:rPr>
        <w:t>该</w:t>
      </w:r>
      <w:r>
        <w:rPr>
          <w:color w:val="FF0000"/>
          <w:sz w:val="24"/>
        </w:rPr>
        <w:t>包</w:t>
      </w:r>
      <w:r>
        <w:rPr>
          <w:rFonts w:hint="eastAsia"/>
          <w:color w:val="FF0000"/>
          <w:sz w:val="24"/>
        </w:rPr>
        <w:t>总预算（最高</w:t>
      </w:r>
      <w:r>
        <w:rPr>
          <w:color w:val="FF0000"/>
          <w:sz w:val="24"/>
        </w:rPr>
        <w:t>限价</w:t>
      </w:r>
      <w:r>
        <w:rPr>
          <w:rFonts w:hint="eastAsia"/>
          <w:color w:val="FF0000"/>
          <w:sz w:val="24"/>
        </w:rPr>
        <w:t>）。</w:t>
      </w:r>
    </w:p>
    <w:p>
      <w:pPr>
        <w:widowControl/>
        <w:shd w:val="clear" w:color="auto" w:fill="FFFFFF"/>
        <w:spacing w:line="480" w:lineRule="auto"/>
        <w:ind w:firstLine="420"/>
        <w:rPr>
          <w:rFonts w:ascii="宋体" w:hAnsi="宋体" w:eastAsia="宋体" w:cs="宋体"/>
          <w:color w:val="FF0000"/>
          <w:kern w:val="0"/>
          <w:sz w:val="24"/>
          <w:szCs w:val="24"/>
        </w:rPr>
      </w:pPr>
      <w:r>
        <w:rPr>
          <w:rFonts w:hint="eastAsia" w:ascii="宋体" w:hAnsi="宋体" w:eastAsia="宋体" w:cs="宋体"/>
          <w:color w:val="FF0000"/>
          <w:kern w:val="0"/>
          <w:sz w:val="24"/>
          <w:szCs w:val="24"/>
        </w:rPr>
        <w:t>（五）执行政府采购促进中小企业发展的相关政策</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color w:val="1F4E79" w:themeColor="accent1" w:themeShade="80"/>
          <w:kern w:val="0"/>
          <w:sz w:val="24"/>
          <w:szCs w:val="24"/>
        </w:rPr>
        <w:t>☑</w:t>
      </w:r>
      <w:r>
        <w:rPr>
          <w:rFonts w:hint="eastAsia" w:ascii="宋体" w:hAnsi="宋体" w:eastAsia="宋体" w:cs="宋体"/>
          <w:kern w:val="0"/>
          <w:sz w:val="24"/>
          <w:szCs w:val="24"/>
        </w:rPr>
        <w:t xml:space="preserve">专门面向中小企业采购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□不专门面向中小企业采购</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 xml:space="preserve">面向的企业规模：□中小企业 </w:t>
      </w:r>
      <w:r>
        <w:rPr>
          <w:rFonts w:ascii="宋体" w:hAnsi="宋体" w:eastAsia="宋体" w:cs="宋体"/>
          <w:kern w:val="0"/>
          <w:sz w:val="24"/>
          <w:szCs w:val="24"/>
        </w:rPr>
        <w:t xml:space="preserve"> </w:t>
      </w:r>
      <w:r>
        <w:rPr>
          <w:rFonts w:hint="eastAsia" w:ascii="宋体" w:hAnsi="宋体" w:eastAsia="宋体" w:cs="宋体"/>
          <w:kern w:val="0"/>
          <w:sz w:val="24"/>
          <w:szCs w:val="24"/>
        </w:rPr>
        <w:t>□小微企业</w:t>
      </w:r>
    </w:p>
    <w:p>
      <w:pPr>
        <w:widowControl/>
        <w:shd w:val="clear" w:color="auto" w:fill="FFFFFF"/>
        <w:spacing w:line="480" w:lineRule="auto"/>
        <w:ind w:left="315" w:leftChars="150" w:firstLine="480" w:firstLineChars="200"/>
        <w:rPr>
          <w:rFonts w:ascii="宋体" w:hAnsi="宋体" w:eastAsia="宋体" w:cs="宋体"/>
          <w:kern w:val="0"/>
          <w:sz w:val="24"/>
          <w:szCs w:val="24"/>
        </w:rPr>
      </w:pPr>
      <w:r>
        <w:rPr>
          <w:rFonts w:hint="eastAsia" w:ascii="宋体" w:hAnsi="宋体" w:eastAsia="宋体" w:cs="宋体"/>
          <w:kern w:val="0"/>
          <w:sz w:val="24"/>
          <w:szCs w:val="24"/>
        </w:rPr>
        <w:t>预留形式：</w:t>
      </w:r>
      <w:r>
        <w:rPr>
          <w:rFonts w:hint="eastAsia" w:ascii="宋体" w:hAnsi="宋体" w:eastAsia="宋体" w:cs="宋体"/>
          <w:color w:val="1F4E79" w:themeColor="accent1" w:themeShade="80"/>
          <w:kern w:val="0"/>
          <w:sz w:val="24"/>
          <w:szCs w:val="24"/>
        </w:rPr>
        <w:t>☑</w:t>
      </w:r>
      <w:r>
        <w:rPr>
          <w:rFonts w:hint="eastAsia" w:ascii="宋体" w:hAnsi="宋体" w:eastAsia="宋体" w:cs="宋体"/>
          <w:kern w:val="0"/>
          <w:sz w:val="24"/>
          <w:szCs w:val="24"/>
        </w:rPr>
        <w:t>项目整体预留  □设置专门采购包  □以联合体形式参加  □要求合同分包</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预留比例：    %</w:t>
      </w:r>
    </w:p>
    <w:p>
      <w:pPr>
        <w:widowControl/>
        <w:shd w:val="clear" w:color="auto" w:fill="FFFFFF"/>
        <w:spacing w:line="48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不专门面向的原因：</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□法律法规和国家有关政策明确规定优先或者应当面向事业单位、社会组织等非企业主体采购的</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□因确需使用不可替代的专利、专有技术，基础设施限制，或者提供特定公共服务等原因，只能从中小企业之外的供应商处采购的</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□按照本办法规定预留采购份额无法确保充分供应、充分竞争，或者存在可能影响政府采购目标实现的情形</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□框架协议采购项目</w:t>
      </w:r>
    </w:p>
    <w:p>
      <w:pPr>
        <w:widowControl/>
        <w:shd w:val="clear" w:color="auto" w:fill="FFFFFF"/>
        <w:spacing w:line="480" w:lineRule="auto"/>
        <w:ind w:firstLine="840"/>
        <w:rPr>
          <w:rFonts w:ascii="宋体" w:hAnsi="宋体" w:eastAsia="宋体" w:cs="宋体"/>
          <w:kern w:val="0"/>
          <w:sz w:val="24"/>
          <w:szCs w:val="24"/>
        </w:rPr>
      </w:pPr>
      <w:r>
        <w:rPr>
          <w:rFonts w:hint="eastAsia" w:ascii="宋体" w:hAnsi="宋体" w:eastAsia="宋体" w:cs="宋体"/>
          <w:kern w:val="0"/>
          <w:sz w:val="24"/>
          <w:szCs w:val="24"/>
        </w:rPr>
        <w:t>□省级以上人民政府财政部门规定的其他情形</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i/>
          <w:iCs/>
          <w:color w:val="333333"/>
          <w:kern w:val="0"/>
          <w:sz w:val="24"/>
          <w:szCs w:val="24"/>
        </w:rPr>
        <w:t>注：监狱企业和残疾人福利单位视同小微企业。</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（六）是否采购环境标识产品：是</w:t>
      </w:r>
      <w:r>
        <w:rPr>
          <w:rFonts w:hint="eastAsia" w:ascii="宋体" w:hAnsi="宋体" w:eastAsia="宋体" w:cs="宋体"/>
          <w:color w:val="1F4E79" w:themeColor="accent1" w:themeShade="80"/>
          <w:kern w:val="0"/>
          <w:sz w:val="24"/>
          <w:szCs w:val="24"/>
        </w:rPr>
        <w:t>☑</w:t>
      </w:r>
      <w:r>
        <w:rPr>
          <w:rFonts w:hint="eastAsia" w:ascii="宋体" w:hAnsi="宋体" w:eastAsia="宋体" w:cs="宋体"/>
          <w:color w:val="333333"/>
          <w:kern w:val="0"/>
          <w:sz w:val="24"/>
          <w:szCs w:val="24"/>
        </w:rPr>
        <w:t xml:space="preserve">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（七）是否采购节能产品：是□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1F4E79" w:themeColor="accent1" w:themeShade="80"/>
          <w:kern w:val="0"/>
          <w:sz w:val="24"/>
          <w:szCs w:val="24"/>
        </w:rPr>
        <w:t>☑</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（八）项目的采购标的是否包含进口产品：是□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1F4E79" w:themeColor="accent1" w:themeShade="80"/>
          <w:kern w:val="0"/>
          <w:sz w:val="24"/>
          <w:szCs w:val="24"/>
        </w:rPr>
        <w:t>☑</w:t>
      </w:r>
    </w:p>
    <w:p>
      <w:pPr>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（九）采购标的是否属于政府购买服务：是□（填以下信息）  否</w:t>
      </w:r>
      <w:r>
        <w:rPr>
          <w:rFonts w:hint="eastAsia" w:ascii="宋体" w:hAnsi="宋体" w:eastAsia="宋体" w:cs="宋体"/>
          <w:color w:val="1F4E79" w:themeColor="accent1" w:themeShade="80"/>
          <w:kern w:val="0"/>
          <w:sz w:val="24"/>
          <w:szCs w:val="24"/>
        </w:rPr>
        <w:sym w:font="Wingdings" w:char="F0FE"/>
      </w:r>
    </w:p>
    <w:p>
      <w:pPr>
        <w:ind w:firstLine="600" w:firstLineChars="250"/>
        <w:rPr>
          <w:rFonts w:ascii="宋体" w:hAnsi="宋体" w:eastAsia="宋体" w:cs="宋体"/>
          <w:color w:val="333333"/>
          <w:kern w:val="0"/>
          <w:sz w:val="24"/>
          <w:szCs w:val="24"/>
        </w:rPr>
      </w:pPr>
      <w:r>
        <w:rPr>
          <w:rFonts w:hint="eastAsia" w:ascii="宋体" w:hAnsi="宋体" w:eastAsia="宋体" w:cs="宋体"/>
          <w:color w:val="333333"/>
          <w:kern w:val="0"/>
          <w:sz w:val="24"/>
          <w:szCs w:val="24"/>
        </w:rPr>
        <w:t>政府购买服务的分类：□政府履职所需辅助性服务 □政府向社会公众提供的公共服务</w:t>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（十）是否属于政务信息系统项目：是□  否</w:t>
      </w:r>
      <w:r>
        <w:rPr>
          <w:rFonts w:hint="eastAsia" w:ascii="宋体" w:hAnsi="宋体" w:eastAsia="宋体" w:cs="宋体"/>
          <w:color w:val="333333"/>
          <w:kern w:val="0"/>
          <w:sz w:val="24"/>
          <w:szCs w:val="24"/>
        </w:rPr>
        <w:sym w:font="Wingdings" w:char="00FE"/>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（十一）是否属于高校、科研院所的科研仪器设备采购：是□  否</w:t>
      </w:r>
      <w:r>
        <w:rPr>
          <w:rFonts w:hint="eastAsia" w:ascii="宋体" w:hAnsi="宋体" w:eastAsia="宋体" w:cs="宋体"/>
          <w:color w:val="000000" w:themeColor="text1"/>
          <w:kern w:val="0"/>
          <w:sz w:val="24"/>
          <w:szCs w:val="24"/>
          <w14:textFill>
            <w14:solidFill>
              <w14:schemeClr w14:val="tx1"/>
            </w14:solidFill>
          </w14:textFill>
        </w:rPr>
        <w:sym w:font="Wingdings" w:char="00FE"/>
      </w:r>
    </w:p>
    <w:p>
      <w:pPr>
        <w:widowControl/>
        <w:shd w:val="clear" w:color="auto" w:fill="FFFFFF"/>
        <w:spacing w:line="480" w:lineRule="auto"/>
        <w:ind w:firstLine="42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（十二）是否属于PPP项目：是□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000000" w:themeColor="text1"/>
          <w:kern w:val="0"/>
          <w:sz w:val="24"/>
          <w:szCs w:val="24"/>
          <w14:textFill>
            <w14:solidFill>
              <w14:schemeClr w14:val="tx1"/>
            </w14:solidFill>
          </w14:textFill>
        </w:rPr>
        <w:sym w:font="Wingdings" w:char="F0FE"/>
      </w:r>
    </w:p>
    <w:p>
      <w:pPr>
        <w:widowControl/>
        <w:shd w:val="clear" w:color="auto" w:fill="FFFFFF"/>
        <w:spacing w:line="480" w:lineRule="auto"/>
        <w:outlineLvl w:val="2"/>
        <w:rPr>
          <w:rFonts w:ascii="宋体" w:hAnsi="宋体" w:eastAsia="宋体" w:cs="宋体"/>
          <w:b/>
          <w:bCs/>
          <w:color w:val="333333"/>
          <w:kern w:val="0"/>
          <w:sz w:val="27"/>
          <w:szCs w:val="27"/>
        </w:rPr>
      </w:pPr>
      <w:r>
        <w:rPr>
          <w:rFonts w:hint="eastAsia" w:ascii="宋体" w:hAnsi="宋体" w:eastAsia="宋体" w:cs="宋体"/>
          <w:b/>
          <w:bCs/>
          <w:color w:val="333333"/>
          <w:kern w:val="0"/>
          <w:sz w:val="27"/>
          <w:szCs w:val="27"/>
        </w:rPr>
        <w:t>四、项目需求及分包情况、采购标的</w:t>
      </w:r>
    </w:p>
    <w:p>
      <w:pPr>
        <w:widowControl/>
        <w:shd w:val="clear" w:color="auto" w:fill="FFFFFF"/>
        <w:spacing w:line="480" w:lineRule="auto"/>
        <w:ind w:firstLine="420"/>
        <w:outlineLvl w:val="4"/>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供应商</w:t>
      </w:r>
      <w:r>
        <w:rPr>
          <w:rFonts w:ascii="宋体" w:hAnsi="宋体" w:eastAsia="宋体" w:cs="宋体"/>
          <w:bCs/>
          <w:color w:val="333333"/>
          <w:kern w:val="0"/>
          <w:sz w:val="24"/>
          <w:szCs w:val="24"/>
        </w:rPr>
        <w:t>一般资格要求：</w:t>
      </w:r>
    </w:p>
    <w:tbl>
      <w:tblPr>
        <w:tblStyle w:val="11"/>
        <w:tblpPr w:leftFromText="180" w:rightFromText="180" w:horzAnchor="margin" w:tblpXSpec="center" w:tblpY="-1440"/>
        <w:tblW w:w="10875" w:type="dxa"/>
        <w:tblInd w:w="0" w:type="dxa"/>
        <w:shd w:val="clear" w:color="auto" w:fill="FFFFFF"/>
        <w:tblLayout w:type="autofit"/>
        <w:tblCellMar>
          <w:top w:w="0" w:type="dxa"/>
          <w:left w:w="0" w:type="dxa"/>
          <w:bottom w:w="0" w:type="dxa"/>
          <w:right w:w="0" w:type="dxa"/>
        </w:tblCellMar>
      </w:tblPr>
      <w:tblGrid>
        <w:gridCol w:w="481"/>
        <w:gridCol w:w="4806"/>
        <w:gridCol w:w="5588"/>
      </w:tblGrid>
      <w:tr>
        <w:tblPrEx>
          <w:shd w:val="clear" w:color="auto" w:fill="FFFFFF"/>
          <w:tblCellMar>
            <w:top w:w="0" w:type="dxa"/>
            <w:left w:w="0" w:type="dxa"/>
            <w:bottom w:w="0" w:type="dxa"/>
            <w:right w:w="0" w:type="dxa"/>
          </w:tblCellMar>
        </w:tblPrEx>
        <w:trPr>
          <w:trHeight w:val="480" w:hRule="atLeast"/>
          <w:tblHeader/>
        </w:trPr>
        <w:tc>
          <w:tcPr>
            <w:tcW w:w="482"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序号</w:t>
            </w:r>
          </w:p>
        </w:tc>
        <w:tc>
          <w:tcPr>
            <w:tcW w:w="4805"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资格要求名称</w:t>
            </w:r>
          </w:p>
        </w:tc>
        <w:tc>
          <w:tcPr>
            <w:tcW w:w="5588"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资格要求详细说明</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投标人应具有独立承担民事责任的能力</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未被列入失信被执行人、重大税收违法案件当事人名单、政府采购严重违法失信行为记录名单</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未处于被行政部门禁止参与政府采购活动的期限内</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行贿犯罪记录</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单位负责人为同一人或者存在直接控股、管理关系的不同供应商，不得参加同一项目的投标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投标文件签章</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投标文件加盖有投标人（法定名称）电子签章。【说明：无须提供证明材料，上传空白页即可，不对本项上传的材料作资格审查】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投标文件资格响应文件的语言</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语言符合招标文件的要求。 【说明：投标人无须提供证明材料，上传空白页即可，不对本项上传的材料作资格审查】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法律、行政法规规定的其他条件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采购人对法律、行政法规规定的其他条件无其他特殊要求，投标人可不提供证明材料。 【说明：投标人无须提供证明材料，上传空白页即可，不对本项上传的材料作资格审查】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不属于国家相关法律法规规定的其他禁止参加投标的情形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rPr>
            </w:pPr>
            <w:r>
              <w:rPr>
                <w:rFonts w:hint="eastAsia" w:ascii="宋体" w:hAnsi="宋体" w:eastAsia="宋体" w:cs="宋体"/>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pPr>
        <w:widowControl/>
        <w:shd w:val="clear" w:color="auto" w:fill="FFFFFF"/>
        <w:spacing w:line="480" w:lineRule="auto"/>
        <w:outlineLvl w:val="4"/>
        <w:rPr>
          <w:rFonts w:ascii="宋体" w:hAnsi="宋体" w:eastAsia="宋体" w:cs="宋体"/>
          <w:bCs/>
          <w:color w:val="FF0000"/>
          <w:kern w:val="0"/>
          <w:sz w:val="24"/>
          <w:szCs w:val="24"/>
        </w:rPr>
      </w:pPr>
    </w:p>
    <w:p>
      <w:pPr>
        <w:widowControl/>
        <w:shd w:val="clear" w:color="auto" w:fill="FFFFFF"/>
        <w:spacing w:line="480" w:lineRule="auto"/>
        <w:ind w:firstLine="420"/>
        <w:outlineLvl w:val="4"/>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供应商特殊资格要求（如有）：</w:t>
      </w:r>
    </w:p>
    <w:tbl>
      <w:tblPr>
        <w:tblStyle w:val="12"/>
        <w:tblW w:w="109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67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480" w:lineRule="auto"/>
              <w:outlineLvl w:val="4"/>
              <w:rPr>
                <w:rFonts w:ascii="宋体" w:hAnsi="宋体" w:eastAsia="宋体" w:cs="宋体"/>
                <w:bCs/>
                <w:color w:val="333333"/>
                <w:kern w:val="0"/>
                <w:sz w:val="24"/>
                <w:szCs w:val="24"/>
              </w:rPr>
            </w:pPr>
            <w:r>
              <w:rPr>
                <w:rFonts w:ascii="宋体" w:hAnsi="宋体" w:eastAsia="宋体" w:cs="宋体"/>
                <w:b/>
                <w:bCs/>
                <w:kern w:val="0"/>
                <w:sz w:val="24"/>
                <w:szCs w:val="24"/>
              </w:rPr>
              <w:t>序号</w:t>
            </w:r>
          </w:p>
        </w:tc>
        <w:tc>
          <w:tcPr>
            <w:tcW w:w="4678" w:type="dxa"/>
          </w:tcPr>
          <w:p>
            <w:pPr>
              <w:widowControl/>
              <w:spacing w:line="480" w:lineRule="auto"/>
              <w:jc w:val="center"/>
              <w:outlineLvl w:val="4"/>
              <w:rPr>
                <w:rFonts w:ascii="宋体" w:hAnsi="宋体" w:eastAsia="宋体" w:cs="宋体"/>
                <w:bCs/>
                <w:color w:val="333333"/>
                <w:kern w:val="0"/>
                <w:sz w:val="24"/>
                <w:szCs w:val="24"/>
              </w:rPr>
            </w:pPr>
            <w:r>
              <w:rPr>
                <w:rFonts w:ascii="宋体" w:hAnsi="宋体" w:eastAsia="宋体" w:cs="宋体"/>
                <w:b/>
                <w:bCs/>
                <w:kern w:val="0"/>
                <w:sz w:val="24"/>
                <w:szCs w:val="24"/>
              </w:rPr>
              <w:t>资格要求名称</w:t>
            </w:r>
          </w:p>
        </w:tc>
        <w:tc>
          <w:tcPr>
            <w:tcW w:w="5528" w:type="dxa"/>
          </w:tcPr>
          <w:p>
            <w:pPr>
              <w:widowControl/>
              <w:spacing w:line="480" w:lineRule="auto"/>
              <w:jc w:val="center"/>
              <w:outlineLvl w:val="4"/>
              <w:rPr>
                <w:rFonts w:ascii="宋体" w:hAnsi="宋体" w:eastAsia="宋体" w:cs="宋体"/>
                <w:bCs/>
                <w:color w:val="333333"/>
                <w:kern w:val="0"/>
                <w:sz w:val="24"/>
                <w:szCs w:val="24"/>
              </w:rPr>
            </w:pPr>
            <w:r>
              <w:rPr>
                <w:rFonts w:ascii="宋体" w:hAnsi="宋体" w:eastAsia="宋体" w:cs="宋体"/>
                <w:b/>
                <w:bCs/>
                <w:kern w:val="0"/>
                <w:sz w:val="24"/>
                <w:szCs w:val="24"/>
              </w:rPr>
              <w:t>资格要求详细说明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480" w:lineRule="auto"/>
              <w:outlineLvl w:val="4"/>
              <w:rPr>
                <w:rFonts w:ascii="宋体" w:hAnsi="宋体" w:eastAsia="宋体" w:cs="宋体"/>
                <w:bCs/>
                <w:color w:val="333333"/>
                <w:kern w:val="0"/>
                <w:sz w:val="24"/>
                <w:szCs w:val="24"/>
              </w:rPr>
            </w:pPr>
          </w:p>
        </w:tc>
        <w:tc>
          <w:tcPr>
            <w:tcW w:w="4678" w:type="dxa"/>
          </w:tcPr>
          <w:p>
            <w:pPr>
              <w:widowControl/>
              <w:spacing w:line="480" w:lineRule="auto"/>
              <w:outlineLvl w:val="4"/>
              <w:rPr>
                <w:rFonts w:ascii="宋体" w:hAnsi="宋体" w:eastAsia="宋体" w:cs="宋体"/>
                <w:bCs/>
                <w:color w:val="333333"/>
                <w:kern w:val="0"/>
                <w:sz w:val="24"/>
                <w:szCs w:val="24"/>
              </w:rPr>
            </w:pPr>
          </w:p>
        </w:tc>
        <w:tc>
          <w:tcPr>
            <w:tcW w:w="5528" w:type="dxa"/>
          </w:tcPr>
          <w:p>
            <w:pPr>
              <w:widowControl/>
              <w:spacing w:line="480" w:lineRule="auto"/>
              <w:outlineLvl w:val="4"/>
              <w:rPr>
                <w:rFonts w:ascii="宋体" w:hAnsi="宋体" w:eastAsia="宋体" w:cs="宋体"/>
                <w:bCs/>
                <w:color w:val="333333"/>
                <w:kern w:val="0"/>
                <w:sz w:val="24"/>
                <w:szCs w:val="24"/>
              </w:rPr>
            </w:pPr>
          </w:p>
        </w:tc>
      </w:tr>
    </w:tbl>
    <w:p>
      <w:pPr>
        <w:widowControl/>
        <w:shd w:val="clear" w:color="auto" w:fill="FFFFFF"/>
        <w:spacing w:line="480" w:lineRule="auto"/>
        <w:ind w:firstLine="420"/>
        <w:outlineLvl w:val="4"/>
        <w:rPr>
          <w:rFonts w:ascii="宋体" w:hAnsi="宋体" w:eastAsia="宋体" w:cs="宋体"/>
          <w:color w:val="FF0000"/>
          <w:kern w:val="0"/>
          <w:sz w:val="24"/>
          <w:szCs w:val="24"/>
        </w:rPr>
      </w:pPr>
      <w:r>
        <w:rPr>
          <w:rFonts w:hint="eastAsia" w:ascii="宋体" w:hAnsi="宋体" w:eastAsia="宋体" w:cs="宋体"/>
          <w:color w:val="FF0000"/>
          <w:kern w:val="0"/>
          <w:sz w:val="24"/>
          <w:szCs w:val="24"/>
        </w:rPr>
        <w:t>技术要求与标准：</w:t>
      </w:r>
    </w:p>
    <w:p>
      <w:pPr>
        <w:widowControl/>
        <w:shd w:val="clear" w:color="auto" w:fill="FFFFFF"/>
        <w:spacing w:line="480" w:lineRule="auto"/>
        <w:ind w:firstLine="420"/>
        <w:outlineLvl w:val="4"/>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pPr>
        <w:widowControl/>
        <w:shd w:val="clear" w:color="auto" w:fill="FFFFFF"/>
        <w:spacing w:line="480" w:lineRule="auto"/>
        <w:ind w:firstLine="420"/>
        <w:outlineLvl w:val="4"/>
        <w:rPr>
          <w:color w:val="FF0000"/>
          <w:sz w:val="24"/>
        </w:rPr>
      </w:pPr>
      <w:r>
        <w:rPr>
          <w:rFonts w:hint="eastAsia"/>
          <w:color w:val="FF0000"/>
          <w:sz w:val="24"/>
        </w:rPr>
        <w:t>品目信息一的</w:t>
      </w:r>
      <w:r>
        <w:rPr>
          <w:color w:val="FF0000"/>
          <w:sz w:val="24"/>
        </w:rPr>
        <w:t>标的参数：</w:t>
      </w:r>
    </w:p>
    <w:p>
      <w:pPr>
        <w:widowControl/>
        <w:shd w:val="clear" w:color="auto" w:fill="FFFFFF"/>
        <w:spacing w:line="480" w:lineRule="auto"/>
        <w:ind w:firstLine="420"/>
        <w:outlineLvl w:val="4"/>
        <w:rPr>
          <w:color w:val="FF0000"/>
          <w:sz w:val="24"/>
        </w:rPr>
      </w:pPr>
    </w:p>
    <w:p>
      <w:pPr>
        <w:widowControl/>
        <w:shd w:val="clear" w:color="auto" w:fill="FFFFFF"/>
        <w:spacing w:line="480" w:lineRule="auto"/>
        <w:ind w:firstLine="420"/>
        <w:outlineLvl w:val="4"/>
        <w:rPr>
          <w:color w:val="FF0000"/>
          <w:sz w:val="24"/>
        </w:rPr>
      </w:pPr>
    </w:p>
    <w:p>
      <w:pPr>
        <w:widowControl/>
        <w:shd w:val="clear" w:color="auto" w:fill="FFFFFF"/>
        <w:spacing w:line="480" w:lineRule="auto"/>
        <w:ind w:firstLine="420"/>
        <w:outlineLvl w:val="4"/>
        <w:rPr>
          <w:color w:val="FF0000"/>
          <w:sz w:val="24"/>
        </w:rPr>
      </w:pPr>
    </w:p>
    <w:p>
      <w:pPr>
        <w:widowControl/>
        <w:shd w:val="clear" w:color="auto" w:fill="FFFFFF"/>
        <w:spacing w:line="480" w:lineRule="auto"/>
        <w:ind w:firstLine="420"/>
        <w:outlineLvl w:val="4"/>
        <w:rPr>
          <w:color w:val="FF0000"/>
          <w:sz w:val="24"/>
        </w:rPr>
      </w:pPr>
    </w:p>
    <w:p>
      <w:pPr>
        <w:widowControl/>
        <w:shd w:val="clear" w:color="auto" w:fill="FFFFFF"/>
        <w:spacing w:line="480" w:lineRule="auto"/>
        <w:ind w:firstLine="420"/>
        <w:outlineLvl w:val="4"/>
        <w:rPr>
          <w:color w:val="FF0000"/>
          <w:sz w:val="24"/>
        </w:rPr>
      </w:pPr>
    </w:p>
    <w:p>
      <w:pPr>
        <w:widowControl/>
        <w:shd w:val="clear" w:color="auto" w:fill="FFFFFF"/>
        <w:spacing w:line="480" w:lineRule="auto"/>
        <w:ind w:firstLine="420"/>
        <w:outlineLvl w:val="4"/>
        <w:rPr>
          <w:color w:val="FF0000"/>
          <w:sz w:val="24"/>
        </w:rPr>
      </w:pPr>
    </w:p>
    <w:p>
      <w:pPr>
        <w:widowControl/>
        <w:shd w:val="clear" w:color="auto" w:fill="FFFFFF"/>
        <w:spacing w:line="480" w:lineRule="auto"/>
        <w:ind w:firstLine="420"/>
        <w:outlineLvl w:val="4"/>
        <w:rPr>
          <w:color w:val="FF0000"/>
          <w:sz w:val="24"/>
        </w:rPr>
      </w:pPr>
    </w:p>
    <w:tbl>
      <w:tblPr>
        <w:tblStyle w:val="12"/>
        <w:tblW w:w="10773"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1"/>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参数性质</w:t>
            </w:r>
          </w:p>
        </w:tc>
        <w:tc>
          <w:tcPr>
            <w:tcW w:w="851" w:type="dxa"/>
          </w:tcPr>
          <w:p>
            <w:pPr>
              <w:widowControl/>
              <w:spacing w:line="480" w:lineRule="auto"/>
              <w:rPr>
                <w:rFonts w:ascii="宋体" w:hAnsi="宋体" w:eastAsia="宋体" w:cs="宋体"/>
                <w:b/>
                <w:color w:val="333333"/>
                <w:kern w:val="0"/>
                <w:sz w:val="24"/>
                <w:szCs w:val="24"/>
              </w:rPr>
            </w:pPr>
            <w:r>
              <w:rPr>
                <w:rFonts w:hint="eastAsia" w:ascii="宋体" w:hAnsi="宋体" w:eastAsia="宋体" w:cs="宋体"/>
                <w:b/>
                <w:color w:val="333333"/>
                <w:kern w:val="0"/>
                <w:sz w:val="24"/>
                <w:szCs w:val="24"/>
              </w:rPr>
              <w:t>序号</w:t>
            </w:r>
          </w:p>
        </w:tc>
        <w:tc>
          <w:tcPr>
            <w:tcW w:w="8646" w:type="dxa"/>
          </w:tcPr>
          <w:p>
            <w:pPr>
              <w:widowControl/>
              <w:spacing w:line="48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技术参数与性能指标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gridSpan w:val="3"/>
          </w:tcPr>
          <w:tbl>
            <w:tblPr>
              <w:tblStyle w:val="11"/>
              <w:tblW w:w="105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8"/>
              <w:gridCol w:w="416"/>
              <w:gridCol w:w="756"/>
              <w:gridCol w:w="568"/>
              <w:gridCol w:w="450"/>
              <w:gridCol w:w="1950"/>
              <w:gridCol w:w="5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采购品目</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参考图片</w:t>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班台桌</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1800*900*750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54610</wp:posOffset>
                        </wp:positionH>
                        <wp:positionV relativeFrom="paragraph">
                          <wp:posOffset>1251585</wp:posOffset>
                        </wp:positionV>
                        <wp:extent cx="1068070" cy="812800"/>
                        <wp:effectExtent l="0" t="0" r="17780" b="6350"/>
                        <wp:wrapNone/>
                        <wp:docPr id="35" name="图片_31"/>
                        <wp:cNvGraphicFramePr/>
                        <a:graphic xmlns:a="http://schemas.openxmlformats.org/drawingml/2006/main">
                          <a:graphicData uri="http://schemas.openxmlformats.org/drawingml/2006/picture">
                            <pic:pic xmlns:pic="http://schemas.openxmlformats.org/drawingml/2006/picture">
                              <pic:nvPicPr>
                                <pic:cNvPr id="35" name="图片_31"/>
                                <pic:cNvPicPr/>
                              </pic:nvPicPr>
                              <pic:blipFill>
                                <a:blip r:embed="rId4"/>
                                <a:stretch>
                                  <a:fillRect/>
                                </a:stretch>
                              </pic:blipFill>
                              <pic:spPr>
                                <a:xfrm>
                                  <a:off x="0" y="0"/>
                                  <a:ext cx="1068070" cy="812800"/>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主材：采用环保三聚氰胺饰面板，甲醛释放限量≤0.04mg/m³，耐光色牢度＞4级，表面耐龟裂＞4级，表面耐干热＞4级，表面耐污染腐蚀（丙酮、咖啡（120g/L）、氢氧化钠溶液（25％）、双氧水（30％）、鞋油、柠檬酸溶液（10％））达到5级，表面耐香烟灼烧达到4级，表面耐磨磨耗值≤20mg/100r，表面耐划痕无大于90％的连续划痕，表面胶合强度≥1.0MPa，板内密度偏差±5%，24h吸水厚度膨胀率≤5%，挥发性有机化合物（72h）（苯、甲苯、二甲苯、总挥发性有机化合物（TVOC））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封边：采用环保ABS封边条，封边条表面无皱纹、裂纹、折痕、暗条痕、染色线、刀线、油渍、污点、黑斑、粘胶和杂质，无明显的气泡、针孔、划痕、波纹等瑕疵，封边条表面光滑，花纹清晰、均匀，无漏印。压纹（压花）表面有统一的花式，且压纹清晰、均匀，耐干热性、耐磨性、耐老化性以及耐冷热循环性均符合检测标准，甲醛释放量≤1.5mg/L，邻苯二甲酸酯（DBP、BBP、DEHP、DNOP、DINP、DIDP）的总量≤0.1%，可迁移元素（可溶性重金属）铅Pb、镉Cd铬Cr、汞Hg、锑Sb、砷As、钡Ba、硒Se均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▲3.ABS热熔胶：采用环保ABS热熔胶，总挥发性有机物≤4g/L。</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五金件：采用高强度铰链，具备垂直静载荷（过载）测试合格、水平静载荷（过载）测试合格，操作力耐久性试验前打开力16N、关闭力15N，操作力耐久性试验后打开力15N、关闭力14N，垂直静载荷测试合格，水平静载荷测试合格，经80000次耐久性测试后测试合格，下沉量≤1.5mm，金属件外观性能要求(电镀层)未见缺陷，经中性盐雾试验，连续喷雾216h后耐腐蚀等级≥9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班椅</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350520</wp:posOffset>
                        </wp:positionH>
                        <wp:positionV relativeFrom="paragraph">
                          <wp:posOffset>1141095</wp:posOffset>
                        </wp:positionV>
                        <wp:extent cx="688340" cy="1120140"/>
                        <wp:effectExtent l="0" t="0" r="16510" b="3810"/>
                        <wp:wrapNone/>
                        <wp:docPr id="25" name="图片_23"/>
                        <wp:cNvGraphicFramePr/>
                        <a:graphic xmlns:a="http://schemas.openxmlformats.org/drawingml/2006/main">
                          <a:graphicData uri="http://schemas.openxmlformats.org/drawingml/2006/picture">
                            <pic:pic xmlns:pic="http://schemas.openxmlformats.org/drawingml/2006/picture">
                              <pic:nvPicPr>
                                <pic:cNvPr id="25" name="图片_23"/>
                                <pic:cNvPicPr/>
                              </pic:nvPicPr>
                              <pic:blipFill>
                                <a:blip r:embed="rId5"/>
                                <a:stretch>
                                  <a:fillRect/>
                                </a:stretch>
                              </pic:blipFill>
                              <pic:spPr>
                                <a:xfrm>
                                  <a:off x="0" y="0"/>
                                  <a:ext cx="688340" cy="1120140"/>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靠背及坐垫：环保多层曲木板，甲醛释放限量≤0.04mg/m³，静曲强度≥40.0MPa，静曲强度试件合格率≥90%，弹性模量≥5400.0MPa，弹性模量试件合格率≥90%，含水率5~8%，含水率试件合格率≥90%，胶合强度≥1.0MPa，胶合强度试件合格率≥90%，挥发性有机化合物（72h）（苯、甲苯、二甲苯、总挥发性有机化合物（TVOC））未检出，板面握螺钉力≥1200N，板边握螺钉力≥1000N。</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头层牛皮覆面，耐折牢度（50000次）无裂纹，耐磨性无明显损伤、剥落，撕裂力≥120N，游离甲醛≤21mg/kg，干擦摩擦色牢度≥4级，湿擦摩擦色牢度≥4级，碱性汗液摩擦色牢度≥4级，涂层沾着牢度≥5N/10mm，pH值≥4，禁用偶氮染料≤6mg/kg，挥发性有机物（VOC）≤15mg/kg，可萃取的重金属（铅（Pb）、镉（Cd））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3.海绵：采用高回弹海绵，表面有防腐和防变形保护膜，检测指标65%/25%压陷比≥2.1；75%压缩永久变形≤2%；泡沫塑料密度(座面)≥40kg/m³；拉伸强度≥180KPa；伸长率≥160%；回弹率≥60%；撕裂强度≥2.5N/cm；干热老化后拉伸强度≥150KPa；干热老化后拉伸强度变化率±30%；游离甲醛未检出(检出限值≤20mg/kg)；恒定负荷反复压陷疲劳性能≤20%；抗引燃特性检测时无续燃、无阴燃；25%压陷硬度(等级/196N)：196±18N。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气压棒：采用四级气压棒，该气压棒经过24H耐盐雾测试，能够达到1.5mm以下锈点≤20点/d㎡，其中≥1.0mm锈点不超过5点，金属件涂层耐盐雾测试合格。耐高低温性能经过-30℃和60℃高低温储存后，公称力衰减不应大于5%，安全性能经循环寿命经耐高低温性能试验后，再经5万次循环寿命试验，公称力衰减不应大于13%。</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5.配件：万向轮塑料件外观无裂痕、无明显变形，无明显缩孔、气泡、杂质、伤痕，外表用塑料件表面光洁、无划痕、无污渍、无明显色差。 五星脚金属件外观要求管材无裂痕、叠缝，外露管口端面应封闭，涂层应无漏喷、腐蚀和脱色、掉色现象，金属喷漆硬度≥2H，冲击强度检测合格，附着力不低于2级。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教师工作位1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1400*700*1200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60</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B0F0"/>
                      <w:sz w:val="20"/>
                      <w:szCs w:val="20"/>
                      <w:u w:val="none"/>
                    </w:rPr>
                  </w:pPr>
                  <w:r>
                    <w:rPr>
                      <w:rFonts w:hint="eastAsia" w:ascii="宋体" w:hAnsi="宋体" w:eastAsia="宋体" w:cs="宋体"/>
                      <w:i w:val="0"/>
                      <w:iCs w:val="0"/>
                      <w:color w:val="00B0F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-1270</wp:posOffset>
                        </wp:positionH>
                        <wp:positionV relativeFrom="paragraph">
                          <wp:posOffset>708025</wp:posOffset>
                        </wp:positionV>
                        <wp:extent cx="1102995" cy="631825"/>
                        <wp:effectExtent l="0" t="0" r="1905" b="15875"/>
                        <wp:wrapNone/>
                        <wp:docPr id="26" name="图片_2"/>
                        <wp:cNvGraphicFramePr/>
                        <a:graphic xmlns:a="http://schemas.openxmlformats.org/drawingml/2006/main">
                          <a:graphicData uri="http://schemas.openxmlformats.org/drawingml/2006/picture">
                            <pic:pic xmlns:pic="http://schemas.openxmlformats.org/drawingml/2006/picture">
                              <pic:nvPicPr>
                                <pic:cNvPr id="26" name="图片_2"/>
                                <pic:cNvPicPr/>
                              </pic:nvPicPr>
                              <pic:blipFill>
                                <a:blip r:embed="rId6"/>
                                <a:stretch>
                                  <a:fillRect/>
                                </a:stretch>
                              </pic:blipFill>
                              <pic:spPr>
                                <a:xfrm>
                                  <a:off x="0" y="0"/>
                                  <a:ext cx="1102995" cy="631825"/>
                                </a:xfrm>
                                <a:prstGeom prst="rect">
                                  <a:avLst/>
                                </a:prstGeom>
                                <a:noFill/>
                                <a:ln>
                                  <a:noFill/>
                                </a:ln>
                              </pic:spPr>
                            </pic:pic>
                          </a:graphicData>
                        </a:graphic>
                      </wp:anchor>
                    </w:drawing>
                  </w:r>
                </w:p>
              </w:tc>
              <w:tc>
                <w:tcPr>
                  <w:tcW w:w="28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主材：采用环保三聚氰胺饰面板，甲醛释放限量≤0.04mg/m³，耐光色牢度＞4级，表面耐龟裂＞4级，表面耐干热＞4级，表面耐污染腐蚀（丙酮、咖啡（120g/L）、氢氧化钠溶液（25％）、双氧水（30％）、鞋油、柠檬酸溶液（10％））达到5级，表面耐香烟灼烧达到4级，表面耐磨磨耗值≤20mg/100r，表面耐划痕无大于90％的连续划痕，表面胶合强度≥1.0MPa，板内密度偏差±5%，24h吸水厚度膨胀率≤5%，挥发性有机化合物（72h）（苯、甲苯、二甲苯、总挥发性有机化合物（TVOC））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封边：采用环保ABS封边条，封边条表面无皱纹、裂纹、折痕、暗条痕、染色线、刀线、油渍、污点、黑斑、粘胶和杂质，无明显的气泡、针孔、划痕、波纹等瑕疵，封边条表面光滑，花纹清晰、均匀，无漏印。压纹（压花）表面有统一的花式，且压纹清晰、均匀，耐干热性、耐磨性、耐老化性以及耐冷热循环性均符合检测标准，甲醛释放量≤1.5mg/L，邻苯二甲酸酯（DBP、BBP、DEHP、DNOP、DINP、DIDP）的总量≤0.1%，可迁移元素（可溶性重金属）铅Pb、镉Cd铬Cr、汞Hg、锑Sb、砷As、钡Ba、硒Se均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3.ABS热熔胶：采用环保ABS热熔胶，总挥发性有机物≤4g/L。</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五金件：采用高强度铰链，具备垂直静载荷（过载）测试合格、水平静载荷（过载）测试合格，操作力耐久性试验前打开力16N、关闭力15N，操作力耐久性试验后打开力15N、关闭力14N，垂直静载荷测试合格，水平静载荷测试合格，经80000次耐久性测试后测试合格，下沉量≤1.5mm，金属件外观性能要求(电镀层)未见缺陷，经中性盐雾试验，连续喷雾216h后耐腐蚀等级≥9级。三合一偏心连接件:金属件外观涂层无漏喷、锈蚀和脱色、掉色现象，涂层光滑均匀，色泽一致，无流挂、疙瘩、皱皮、飞漆等缺陷，表面无剥落、返锈、毛刺，无烧焦、起泡、针孔、裂纹、花斑，酸盐雾试验（ASS）镀（涂）层本身的耐腐蚀等级≥10级、镀（涂）层对基体的保护等级≥10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5.钢架：采用厚度≥1.2MM矩管，抗静电塑粉表面材料。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教师工作位2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1200*600*1200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100</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B0F0"/>
                      <w:sz w:val="20"/>
                      <w:szCs w:val="20"/>
                      <w:u w:val="none"/>
                    </w:rPr>
                  </w:pPr>
                  <w:r>
                    <w:rPr>
                      <w:rFonts w:hint="eastAsia" w:ascii="宋体" w:hAnsi="宋体" w:eastAsia="宋体" w:cs="宋体"/>
                      <w:i w:val="0"/>
                      <w:iCs w:val="0"/>
                      <w:color w:val="00B0F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-42545</wp:posOffset>
                        </wp:positionH>
                        <wp:positionV relativeFrom="paragraph">
                          <wp:posOffset>775335</wp:posOffset>
                        </wp:positionV>
                        <wp:extent cx="1152525" cy="678815"/>
                        <wp:effectExtent l="0" t="0" r="9525" b="6985"/>
                        <wp:wrapNone/>
                        <wp:docPr id="32" name="图片_6"/>
                        <wp:cNvGraphicFramePr/>
                        <a:graphic xmlns:a="http://schemas.openxmlformats.org/drawingml/2006/main">
                          <a:graphicData uri="http://schemas.openxmlformats.org/drawingml/2006/picture">
                            <pic:pic xmlns:pic="http://schemas.openxmlformats.org/drawingml/2006/picture">
                              <pic:nvPicPr>
                                <pic:cNvPr id="32" name="图片_6"/>
                                <pic:cNvPicPr/>
                              </pic:nvPicPr>
                              <pic:blipFill>
                                <a:blip r:embed="rId7"/>
                                <a:stretch>
                                  <a:fillRect/>
                                </a:stretch>
                              </pic:blipFill>
                              <pic:spPr>
                                <a:xfrm>
                                  <a:off x="0" y="0"/>
                                  <a:ext cx="1152525" cy="678815"/>
                                </a:xfrm>
                                <a:prstGeom prst="rect">
                                  <a:avLst/>
                                </a:prstGeom>
                                <a:noFill/>
                                <a:ln>
                                  <a:noFill/>
                                </a:ln>
                              </pic:spPr>
                            </pic:pic>
                          </a:graphicData>
                        </a:graphic>
                      </wp:anchor>
                    </w:drawing>
                  </w:r>
                </w:p>
              </w:tc>
              <w:tc>
                <w:tcPr>
                  <w:tcW w:w="2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设计研发工作台</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1600*1500*1600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B0F0"/>
                      <w:sz w:val="20"/>
                      <w:szCs w:val="20"/>
                      <w:u w:val="none"/>
                    </w:rPr>
                  </w:pPr>
                  <w:r>
                    <w:rPr>
                      <w:rFonts w:hint="eastAsia" w:ascii="宋体" w:hAnsi="宋体" w:eastAsia="宋体" w:cs="宋体"/>
                      <w:i w:val="0"/>
                      <w:iCs w:val="0"/>
                      <w:color w:val="00B0F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-40005</wp:posOffset>
                        </wp:positionH>
                        <wp:positionV relativeFrom="paragraph">
                          <wp:posOffset>1564005</wp:posOffset>
                        </wp:positionV>
                        <wp:extent cx="1167130" cy="753745"/>
                        <wp:effectExtent l="0" t="0" r="13970" b="8255"/>
                        <wp:wrapNone/>
                        <wp:docPr id="27" name="图片_14"/>
                        <wp:cNvGraphicFramePr/>
                        <a:graphic xmlns:a="http://schemas.openxmlformats.org/drawingml/2006/main">
                          <a:graphicData uri="http://schemas.openxmlformats.org/drawingml/2006/picture">
                            <pic:pic xmlns:pic="http://schemas.openxmlformats.org/drawingml/2006/picture">
                              <pic:nvPicPr>
                                <pic:cNvPr id="27" name="图片_14"/>
                                <pic:cNvPicPr/>
                              </pic:nvPicPr>
                              <pic:blipFill>
                                <a:blip r:embed="rId8"/>
                                <a:stretch>
                                  <a:fillRect/>
                                </a:stretch>
                              </pic:blipFill>
                              <pic:spPr>
                                <a:xfrm>
                                  <a:off x="0" y="0"/>
                                  <a:ext cx="1167130" cy="753745"/>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主材：采用环保三聚氰胺饰面板，甲醛释放限量≤0.04mg/m³，耐光色牢度＞4级，表面耐龟裂＞4级，表面耐干热＞4级，表面耐污染腐蚀（丙酮、咖啡（120g/L）、氢氧化钠溶液（25％）、双氧水（30％）、鞋油、柠檬酸溶液（10％））达到5级，表面耐香烟灼烧达到4级，表面耐磨磨耗值≤20mg/100r，表面耐划痕无大于90％的连续划痕，表面胶合强度≥1.0MPa，板内密度偏差±5%，24h吸水厚度膨胀率≤5%，挥发性有机化合物（72h）（苯、甲苯、二甲苯、总挥发性有机化合物（TVOC））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封边：采用环保ABS封边条，封边条表面无皱纹、裂纹、折痕、暗条痕、染色线、刀线、油渍、污点、黑斑、粘胶和杂质，无明显的气泡、针孔、划痕、波纹等瑕疵，封边条表面光滑，花纹清晰、均匀，无漏印。压纹（压花）表面有统一的花式，且压纹清晰、均匀，耐干热性、耐磨性、耐老化性以及耐冷热循环性均符合检测标准，甲醛释放量≤1.5mg/L，邻苯二甲酸酯（DBP、BBP、DEHP、DNOP、DINP、DIDP）的总量≤0.1%，可迁移元素（可溶性重金属）铅Pb、镉Cd铬Cr、汞Hg、锑Sb、砷As、钡Ba、硒Se均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3.ABS热熔胶：采用环保ABS热熔胶，总挥发性有机物≤4g/L。</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五金件：采用高强度铰链，具备垂直静载荷（过载）测试合格、水平静载荷（过载）测试合格，操作力耐久性试验前打开力16N、关闭力15N，操作力耐久性试验后打开力15N、关闭力14N，垂直静载荷测试合格，水平静载荷测试合格，经80000次耐久性测试后测试合格，下沉量≤1.5mm，金属件外观性能要求(电镀层)未见缺陷，经中性盐雾试验，连续喷雾216h后耐腐蚀等级≥9级。三合一偏心连接件:金属件外观涂层无漏喷、锈蚀和脱色、掉色现象，涂层光滑均匀，色泽一致，无流挂、疙瘩、皱皮、飞漆等缺陷，表面无剥落、返锈、毛刺，无烧焦、起泡、针孔、裂纹、花斑，酸盐雾试验（ASS）镀（涂）层本身的耐腐蚀等级≥10级、镀（涂）层对基体的保护等级≥10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5、▲铝合金型材：铝合金经过乙酸盐雾试验达到9级，金属件喷涂层无漏喷、锈蚀和脱色、掉色现象，涂层光滑均匀，色泽一致、无流挂、疙瘩、皱皮、飞漆等现象。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6、▲防静电涂料：色泽均匀，无异物，呈松散粉末状，涂膜外观正常，硬度（擦伤）≥4H，附着力≤1级，可溶性铅Pb、镉Cd、铬Cr、汞Hg均未检出。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教师椅</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170</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B0F0"/>
                      <w:sz w:val="20"/>
                      <w:szCs w:val="20"/>
                      <w:u w:val="none"/>
                    </w:rPr>
                  </w:pPr>
                  <w:r>
                    <w:rPr>
                      <w:rFonts w:hint="eastAsia" w:ascii="宋体" w:hAnsi="宋体" w:eastAsia="宋体" w:cs="宋体"/>
                      <w:i w:val="0"/>
                      <w:iCs w:val="0"/>
                      <w:color w:val="00B0F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-40005</wp:posOffset>
                        </wp:positionH>
                        <wp:positionV relativeFrom="paragraph">
                          <wp:posOffset>894080</wp:posOffset>
                        </wp:positionV>
                        <wp:extent cx="1195070" cy="704215"/>
                        <wp:effectExtent l="0" t="0" r="5080" b="635"/>
                        <wp:wrapNone/>
                        <wp:docPr id="37" name="图片_3"/>
                        <wp:cNvGraphicFramePr/>
                        <a:graphic xmlns:a="http://schemas.openxmlformats.org/drawingml/2006/main">
                          <a:graphicData uri="http://schemas.openxmlformats.org/drawingml/2006/picture">
                            <pic:pic xmlns:pic="http://schemas.openxmlformats.org/drawingml/2006/picture">
                              <pic:nvPicPr>
                                <pic:cNvPr id="37" name="图片_3"/>
                                <pic:cNvPicPr/>
                              </pic:nvPicPr>
                              <pic:blipFill>
                                <a:blip r:embed="rId9"/>
                                <a:stretch>
                                  <a:fillRect/>
                                </a:stretch>
                              </pic:blipFill>
                              <pic:spPr>
                                <a:xfrm>
                                  <a:off x="0" y="0"/>
                                  <a:ext cx="1195070" cy="704215"/>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▲1.采用环保面料，面料检测内容有燃烧性能测试（续燃时间经向≤15s、纬向≤15s，阴燃时间经向≤5s、纬向≤5s，损毁长度经向≤190mm、纬向≤190mm），甲醛含量≤300mg/kg，4.0≤ph值≤9.0之间，无异味。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2.海绵：采用高回弹海绵，表面有防腐和防变形保护膜，检测指标65%/25%压陷比≥2.1；75%压缩永久变形≤2%；泡沫塑料密度(座面)≥40kg/m³；拉伸强度≥180KPa；伸长率≥160%；回弹率≥60%；撕裂强度≥2.5N/cm；干热老化后拉伸强度≥150KPa；干热老化后拉伸强度变化率±30%；游离甲醛未检出(检出限值≤20mg/kg)；恒定负荷反复压陷疲劳性能≤20%；抗引燃特性检测时无续燃、无阴燃；25%压陷硬度(等级/196N)：196±18N。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气压棒：采用四级气压棒，该气压棒经过24H耐盐雾测试，能够达到1.5mm以下锈点≤20点/d㎡，其中≥1.0mm锈点不超过5点，金属件涂层耐盐雾测试合格。耐高低温性能经过-30℃和60℃高低温储存后，公称力衰减不应大于5%，安全性能经循环寿命经耐高低温性能试验后，再经5万次循环寿命试验，公称力衰减不应大于13%。</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配件：万向轮塑料件外观无裂痕、无明显变形，无明显缩孔、气泡、杂质、伤痕，外表用塑料件表面光洁、无划痕、无污渍、无明显色差。五星脚金属件外观要求管材无裂痕、叠缝，外露管口端面应封闭，涂层应无漏喷、腐蚀和脱色、掉色现象，金属喷漆硬度≥2H，冲击强度检测合格，附着力不低于2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办公椅座面冲击（冲击高度152mm，冲击质量102kg，1次）测试合格；扶手垂直向下静载荷（750N，1min）测试合格；扶手水平静载荷（445N，1min）测试合格；脚轮往复磨损（加载113kg，有障碍物测试2000次，无障碍物测试98000次）测试合格；底座静载荷（7560N，1min，2次）测试合格；跌落（跌落高度200mm，10次）测试合格；家用软体家具阻燃性能满足GB 17927.1-2011的要求：外表及内部无续燃或阴燃；甲醛释放量0.03mg/m²h；安全性-基本安全、安全性-密封性能、安全性-耐高低温性能、安全性-循环寿命合格。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3"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文件柜</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850*400*1800（板材厚度要求≥0.8mm.）</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B0F0"/>
                      <w:sz w:val="20"/>
                      <w:szCs w:val="20"/>
                      <w:u w:val="none"/>
                    </w:rPr>
                  </w:pPr>
                  <w:r>
                    <w:rPr>
                      <w:rFonts w:hint="eastAsia" w:ascii="宋体" w:hAnsi="宋体" w:eastAsia="宋体" w:cs="宋体"/>
                      <w:i w:val="0"/>
                      <w:iCs w:val="0"/>
                      <w:color w:val="00B0F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293370</wp:posOffset>
                        </wp:positionH>
                        <wp:positionV relativeFrom="paragraph">
                          <wp:posOffset>725805</wp:posOffset>
                        </wp:positionV>
                        <wp:extent cx="664210" cy="1013460"/>
                        <wp:effectExtent l="0" t="0" r="2540" b="15240"/>
                        <wp:wrapNone/>
                        <wp:docPr id="28" name="图片_75"/>
                        <wp:cNvGraphicFramePr/>
                        <a:graphic xmlns:a="http://schemas.openxmlformats.org/drawingml/2006/main">
                          <a:graphicData uri="http://schemas.openxmlformats.org/drawingml/2006/picture">
                            <pic:pic xmlns:pic="http://schemas.openxmlformats.org/drawingml/2006/picture">
                              <pic:nvPicPr>
                                <pic:cNvPr id="28" name="图片_75"/>
                                <pic:cNvPicPr/>
                              </pic:nvPicPr>
                              <pic:blipFill>
                                <a:blip r:embed="rId10"/>
                                <a:stretch>
                                  <a:fillRect/>
                                </a:stretch>
                              </pic:blipFill>
                              <pic:spPr>
                                <a:xfrm>
                                  <a:off x="0" y="0"/>
                                  <a:ext cx="664210" cy="1013460"/>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▲1.基材：采用环氧树脂粉末喷塑钢板①金属喷漆（塑）涂层硬度≥4H；②金属喷漆(塑)涂层附着力不低于 2 级；③金属喷漆（塑）涂层冲击强度：冲击高度400mm，应无剥落、裂纹、皱纹；④金属喷漆（塑）涂层耐腐蚀：100h 内，在观察溶液中样板上划道两侧3mm 以外，应无鼓泡产生，100h 后检查划道两侧3mm 外，应无锈迹、剥落、起皱、变色和失光等现象；⑤可迁移元素的含量锑、砷、钡、镉、铬、铅、汞、硒均未检出(实测值均低于检出限值)。</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2.玻璃：选用优质钢化玻璃，弯曲度（弓形）≤0.1%，弯曲度（波形）≤0.2%。</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3.锁：连续喷雾18h，耐腐蚀等级达到9级以上；锁头、钥匙表面应平整光洁，未见缺陷，涂层件外露表面应色泽均匀，未见缺陷。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文件柜隔板涂层和覆面层中可溶性重金属（可溶性镉、铅、铬、汞）≤3mg/kg，金属喷漆（塑）涂层冲击强度（无剥落、裂纹、皱纹），金属喷漆（塑）涂层耐腐蚀（无鼓泡产生、无锈迹、剥落、起皱、变色和失光等现象），金属喷漆（塑） 涂层附着力（应不低于 2 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质量：文件柜金属件外观性能要求（焊接处应无脱焊、虚焊、焊穿、错位，焊接处应无夹渣、气孔、焊瘤、焊丝头、咬边、飞溅）未见缺陷、邻边垂直度（非折叠式≤0mm）、曲翘度≤1.6mm、平整度≤0.11mm、位差度≤0.9mm、分缝（所有分缝（非设计要求时）≤1.27mm）、抽屉下垂度≤4mm、抽屉摆动度小于等于 3mm、着地平稳性（底脚与水平面的差值≤0.4mm）、玻璃件外观性能要求未见缺陷、配件性能要求未见缺陷、金属喷漆（塑）涂层冲击强度（冲击高度 400mm，应无剥落、裂纹、皱纹）未见缺陷、金属喷漆（塑）涂层耐腐蚀无鼓泡产生无锈迹、剥落、起皱、变色和失光等现象。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办公桌</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1400*700*760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B0F0"/>
                      <w:sz w:val="20"/>
                      <w:szCs w:val="20"/>
                      <w:u w:val="none"/>
                    </w:rPr>
                  </w:pPr>
                  <w:r>
                    <w:rPr>
                      <w:rFonts w:hint="eastAsia" w:ascii="宋体" w:hAnsi="宋体" w:eastAsia="宋体" w:cs="宋体"/>
                      <w:i w:val="0"/>
                      <w:iCs w:val="0"/>
                      <w:color w:val="00B0F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-38735</wp:posOffset>
                        </wp:positionH>
                        <wp:positionV relativeFrom="paragraph">
                          <wp:posOffset>1393190</wp:posOffset>
                        </wp:positionV>
                        <wp:extent cx="1170305" cy="836295"/>
                        <wp:effectExtent l="0" t="0" r="10795" b="1905"/>
                        <wp:wrapNone/>
                        <wp:docPr id="39" name="图片_29"/>
                        <wp:cNvGraphicFramePr/>
                        <a:graphic xmlns:a="http://schemas.openxmlformats.org/drawingml/2006/main">
                          <a:graphicData uri="http://schemas.openxmlformats.org/drawingml/2006/picture">
                            <pic:pic xmlns:pic="http://schemas.openxmlformats.org/drawingml/2006/picture">
                              <pic:nvPicPr>
                                <pic:cNvPr id="39" name="图片_29"/>
                                <pic:cNvPicPr/>
                              </pic:nvPicPr>
                              <pic:blipFill>
                                <a:blip r:embed="rId11"/>
                                <a:stretch>
                                  <a:fillRect/>
                                </a:stretch>
                              </pic:blipFill>
                              <pic:spPr>
                                <a:xfrm>
                                  <a:off x="0" y="0"/>
                                  <a:ext cx="1170305" cy="836295"/>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基材：选用E1级环保型高密度纤维板，表面平整光洁，不易变形，性能稳定，边缘光挺、细腻，不易崩边、分层；产品甲醛释放量≤0.04mg/m³，含水率≤7.5%,板材密度≥0.9g/cm³，内结合强度≥0.95MPa，表面结合强度≥1.5MPa，静曲强度≥35MPa，弹性模量≥3800MPa。</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2、木皮：采用实木木皮，产品游离甲醛释放量≤0.1mg/L。</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饰面：采用水性环保漆，经六底四面涂装、而成，涂装时间迅速，漆膜的外观理化性光洁高度，漆膜硬度高，其中挥发性有机化合物含量≤30g/L，苯系物含量（苯、甲苯、乙苯、二甲苯总和）≤50mg/kg，游离甲醛含量≤10mg/kg，乙二醇醚及其酯类含量（乙二醇甲醚、乙二醇甲醚醋酸酯、乙二醇乙醚、乙二醇乙醚醋酸酯、二乙二醇丁醚醋酸酯）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五金件：采用高强度铰链，具备垂直静载荷（过载）测试合格、水平静载荷（过载）测试合格，操作力耐久性试验前打开力16N、关闭力15N，操作力耐久性试验后打开力15N、关闭力14N，垂直静载荷测试合格，水平静载荷测试合格，经80000次耐久性测试后测试合格，下沉量≤1.5mm，金属件外观性能要求(电镀层)未见缺陷，经中性盐雾试验，连续喷雾216h后耐腐蚀等级≥9级。三合一偏心连接件:金属件外观涂层无漏喷、锈蚀和脱色、掉色现象，涂层光滑均匀，色泽一致，无流挂、疙瘩、皱皮、飞漆等缺陷，表面无剥落、返锈、毛刺，无烧焦、起泡、针孔、裂纹、花斑，酸盐雾试验（ASS）镀（涂）层本身的耐腐蚀等级≥10级、镀（涂）层对基体的保护等级≥10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5、▲性能质量：木家具成品甲醛释放量≤1.5mg/L，平整度公差（面板）≤0.20mm，底脚平稳性公差≤2.0mm，人造板件外观未见缺陷，桌类稳定性和软、硬质覆面理化性能符合检验标准。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办公椅</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5B9BD5"/>
                      <w:sz w:val="20"/>
                      <w:szCs w:val="20"/>
                      <w:u w:val="none"/>
                    </w:rPr>
                  </w:pPr>
                  <w:r>
                    <w:rPr>
                      <w:rFonts w:hint="eastAsia" w:ascii="宋体" w:hAnsi="宋体" w:eastAsia="宋体" w:cs="宋体"/>
                      <w:i w:val="0"/>
                      <w:iCs w:val="0"/>
                      <w:color w:val="5B9BD5"/>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196215</wp:posOffset>
                        </wp:positionH>
                        <wp:positionV relativeFrom="paragraph">
                          <wp:posOffset>725170</wp:posOffset>
                        </wp:positionV>
                        <wp:extent cx="909955" cy="1002030"/>
                        <wp:effectExtent l="0" t="0" r="4445" b="7620"/>
                        <wp:wrapNone/>
                        <wp:docPr id="38" name="图片_3_SpCnt_1"/>
                        <wp:cNvGraphicFramePr/>
                        <a:graphic xmlns:a="http://schemas.openxmlformats.org/drawingml/2006/main">
                          <a:graphicData uri="http://schemas.openxmlformats.org/drawingml/2006/picture">
                            <pic:pic xmlns:pic="http://schemas.openxmlformats.org/drawingml/2006/picture">
                              <pic:nvPicPr>
                                <pic:cNvPr id="38" name="图片_3_SpCnt_1"/>
                                <pic:cNvPicPr/>
                              </pic:nvPicPr>
                              <pic:blipFill>
                                <a:blip r:embed="rId12"/>
                                <a:stretch>
                                  <a:fillRect/>
                                </a:stretch>
                              </pic:blipFill>
                              <pic:spPr>
                                <a:xfrm>
                                  <a:off x="0" y="0"/>
                                  <a:ext cx="909955" cy="1002030"/>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头层牛皮覆面，耐折牢度（50000次）无裂纹，耐磨性无明显损伤、剥落，撕裂力≥120N，游离甲醛≤21mg/kg，干擦摩擦色牢度≥4级，湿擦摩擦色牢度≥4级，碱性汗液摩擦色牢度≥4级，涂层沾着牢度≥5N/10mm，pH值≥4，禁用偶氮染料≤6mg/kg，挥发性有机物（VOC）≤15mg/kg，可萃取的重金属（铅（Pb）、镉（Cd））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2.海绵：采用高回弹海绵，表面有防腐和防变形保护膜，检测指标65%/25%压陷比≥2.1；75%压缩永久变形≤2%；泡沫塑料密度(座面)≥40kg/m³；拉伸强度≥180KPa；伸长率≥160%；回弹率≥60%；撕裂强度≥2.5N/cm；干热老化后拉伸强度≥150KPa；干热老化后拉伸强度变化率±30%；游离甲醛未检出(检出限值≤20mg/kg)；恒定负荷反复压陷疲劳性能≤20%；抗引燃特性检测时无续燃、无阴燃；25%压陷硬度(等级/196N)：196±18N。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3.框架：采用实木橡胶木，木制件外观要求（贯通裂纹、虫蛀、腐朽材、树脂囊、节子、死节、孔洞、夹皮和树脂、道、树胶道、其他轻微材质缺陷）。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采用水性环保漆，经六底四面涂装、而成，涂装时间迅速，漆膜的外观理化性光洁高度，漆膜硬度高，其中挥发性有机化合物含量≤30g/L，苯系物含量（苯、甲苯、乙苯、二甲苯总和）≤50mg/kg，游离甲醛含量≤10mg/kg，乙二醇醚及其酯类含量（乙二醇甲醚、乙二醇甲醚醋酸酯、乙二醇乙醚、乙二醇乙醚醋酸酯、二乙二醇丁醚醋酸酯）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5.办公椅甲醛释放量≤1.5㎎/L ，板材外表无干花、湿花，无明显划痕、压痕、色差，无鼓泡、龟裂、分层，软、硬质覆面理化性能符合标准要求，耐污染、耐磨，力学性能符合标准要求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可拼接会议桌</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1400*600*750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92075</wp:posOffset>
                        </wp:positionH>
                        <wp:positionV relativeFrom="paragraph">
                          <wp:posOffset>1000760</wp:posOffset>
                        </wp:positionV>
                        <wp:extent cx="1064895" cy="625475"/>
                        <wp:effectExtent l="0" t="0" r="1905" b="3175"/>
                        <wp:wrapNone/>
                        <wp:docPr id="36" name="图片_9"/>
                        <wp:cNvGraphicFramePr/>
                        <a:graphic xmlns:a="http://schemas.openxmlformats.org/drawingml/2006/main">
                          <a:graphicData uri="http://schemas.openxmlformats.org/drawingml/2006/picture">
                            <pic:pic xmlns:pic="http://schemas.openxmlformats.org/drawingml/2006/picture">
                              <pic:nvPicPr>
                                <pic:cNvPr id="36" name="图片_9"/>
                                <pic:cNvPicPr/>
                              </pic:nvPicPr>
                              <pic:blipFill>
                                <a:blip r:embed="rId13"/>
                                <a:stretch>
                                  <a:fillRect/>
                                </a:stretch>
                              </pic:blipFill>
                              <pic:spPr>
                                <a:xfrm>
                                  <a:off x="0" y="0"/>
                                  <a:ext cx="1064895" cy="625475"/>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主材：采用环保三聚氰胺饰面板，甲醛释放限量≤0.04mg/m³，耐光色牢度＞4级，表面耐龟裂＞4级，表面耐干热＞4级，表面耐污染腐蚀（丙酮、咖啡（120g/L）、氢氧化钠溶液（25％）、双氧水（30％）、鞋油、柠檬酸溶液（10％））达到5级，表面耐香烟灼烧达到4级，表面耐磨磨耗值≤20mg/100r，表面耐划痕无大于90％的连续划痕，表面胶合强度≥1.0MPa，板内密度偏差±5%，24h吸水厚度膨胀率≤5%，挥发性有机化合物（72h）（苯、甲苯、二甲苯、总挥发性有机化合物（TVOC））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封边：采用环保ABS封边条，封边条表面无皱纹、裂纹、折痕、暗条痕、染色线、刀线、油渍、污点、黑斑、粘胶和杂质，无明显的气泡、针孔、划痕、波纹等瑕疵，封边条表面光滑，花纹清晰、均匀，无漏印。压纹（压花）表面有统一的花式，且压纹清晰、均匀，耐干热性、耐磨性、耐老化性以及耐冷热循环性均符合检测标准，甲醛释放量≤1.5mg/L，邻苯二甲酸酯（DBP、BBP、DEHP、DNOP、DINP、DIDP）的总量≤0.1%，可迁移元素（可溶性重金属）铅Pb、镉Cd铬Cr、汞Hg、锑Sb、砷As、钡Ba、硒Se均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3.ABS热熔胶：采用环保ABS热熔胶，总挥发性有机物≤4g/L。</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4、优质铝合金脚架，涂层和覆面中可溶性重金属含量，可溶性铅未检出，可溶性镉未检出，可溶性铬未检出，可溶性汞未检出。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5.万向轮：塑料件外观无裂痕、无明显变形，无明显缩孔、气泡、杂质、伤痕，外表用塑料件表面光洁、无划痕、无污渍、无明显色差。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会议椅</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342265</wp:posOffset>
                        </wp:positionH>
                        <wp:positionV relativeFrom="paragraph">
                          <wp:posOffset>746760</wp:posOffset>
                        </wp:positionV>
                        <wp:extent cx="675005" cy="777240"/>
                        <wp:effectExtent l="0" t="0" r="10795" b="3810"/>
                        <wp:wrapNone/>
                        <wp:docPr id="40" name="图片_5"/>
                        <wp:cNvGraphicFramePr/>
                        <a:graphic xmlns:a="http://schemas.openxmlformats.org/drawingml/2006/main">
                          <a:graphicData uri="http://schemas.openxmlformats.org/drawingml/2006/picture">
                            <pic:pic xmlns:pic="http://schemas.openxmlformats.org/drawingml/2006/picture">
                              <pic:nvPicPr>
                                <pic:cNvPr id="40" name="图片_5"/>
                                <pic:cNvPicPr/>
                              </pic:nvPicPr>
                              <pic:blipFill>
                                <a:blip r:embed="rId14"/>
                                <a:stretch>
                                  <a:fillRect/>
                                </a:stretch>
                              </pic:blipFill>
                              <pic:spPr>
                                <a:xfrm>
                                  <a:off x="0" y="0"/>
                                  <a:ext cx="675005" cy="777240"/>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1.采用环保面料，面料检测内容有燃烧性能测试（续燃时间经向≤15s、纬向≤15s，阴燃时间经向≤5s、纬向≤5s，损毁长度经向≤190mm、纬向≤190mm），甲醛含量≤300mg/kg，4.0≤ph值≤9.0之间，无异味。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2.海绵：采用高回弹海绵，表面有防腐和防变形保护膜，检测指标65%/25%压陷比≥2.1；75%压缩永久变形≤2%；泡沫塑料密度(座面)≥40kg/m³；拉伸强度≥180KPa；伸长率≥160%；回弹率≥60%；撕裂强度≥2.5N/cm；干热老化后拉伸强度≥150KPa；干热老化后拉伸强度变化率±30%；游离甲醛未检出(检出限值≤20mg/kg)；恒定负荷反复压陷疲劳性能≤20%；抗引燃特性检测时无续燃、无阴燃；25%压陷硬度(等级/196N)：196±18N。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3.弓形脚架：金属件外观要求管材无裂痕、叠缝，外露管口端面应封闭，涂层应无漏喷、腐蚀和脱色、掉色现象，金属喷漆硬度≥2H，冲击强度检测合格，附着力不低于2级。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教师休息椅</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342265</wp:posOffset>
                        </wp:positionH>
                        <wp:positionV relativeFrom="paragraph">
                          <wp:posOffset>747395</wp:posOffset>
                        </wp:positionV>
                        <wp:extent cx="695960" cy="970915"/>
                        <wp:effectExtent l="0" t="0" r="8890" b="635"/>
                        <wp:wrapNone/>
                        <wp:docPr id="31" name="图片_4"/>
                        <wp:cNvGraphicFramePr/>
                        <a:graphic xmlns:a="http://schemas.openxmlformats.org/drawingml/2006/main">
                          <a:graphicData uri="http://schemas.openxmlformats.org/drawingml/2006/picture">
                            <pic:pic xmlns:pic="http://schemas.openxmlformats.org/drawingml/2006/picture">
                              <pic:nvPicPr>
                                <pic:cNvPr id="31" name="图片_4"/>
                                <pic:cNvPicPr/>
                              </pic:nvPicPr>
                              <pic:blipFill>
                                <a:blip r:embed="rId15"/>
                                <a:stretch>
                                  <a:fillRect/>
                                </a:stretch>
                              </pic:blipFill>
                              <pic:spPr>
                                <a:xfrm>
                                  <a:off x="0" y="0"/>
                                  <a:ext cx="695960" cy="970915"/>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1.采用环保面料，面料检测内容有燃烧性能测试（续燃时间经向≤15s、纬向≤15s，阴燃时间经向≤5s、纬向≤5s，损毁长度经向≤190mm、纬向≤190mm），甲醛含量≤300mg/kg，4.0≤ph值≤9.0之间，无异味。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海绵：采用高回弹海绵，表面有防腐和防变形保护膜，检测指标65%/25%压陷比≥2.1；75%压缩永久变形≤2%；泡沫塑料密度(座面)≥40kg/m³；拉伸强度≥180KPa；伸长率≥160%；回弹率≥60%；撕裂强度≥2.5N/cm；干热老化后拉伸强度≥150KPa；干热老化后拉伸强度变化率±30%；游离甲醛未检出(检出限值≤20mg/kg)；恒定负荷反复压陷疲劳性能≤20%；抗引燃特性检测时无续燃、无阴燃；25%压陷硬度(等级/196N)：196±18N。                                                       3.气压棒：采用四级气压棒，该气压棒经过24H耐盐雾测试，能够达到1.5mm以下锈点≤20点/d㎡，其中≥1.0mm锈点不超过5点，金属件涂层耐盐雾测试合格。耐高低温性能经过-30℃和60℃高低温储存后，公称力衰减不应大于5%，安全性能经循环寿命经耐高低温性能试验后，再经5万次循环寿命试验，公称力衰减不应大于13%。</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4.万向轮：塑料件外观无裂痕、无明显变形，无明显缩孔、气泡、杂质、伤痕，外表用塑料件表面光洁、无划痕、无污渍、无明显色差。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5.五星脚：金属件外观要求管材无裂痕、叠缝，外露管口端面应封闭，涂层应无漏喷、腐蚀和脱色、掉色现象，金属喷漆硬度≥2H，冲击强度检测合格，附着力不低于2级。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办公椅座面冲击（冲击高度152mm，冲击质量102kg，1次）测试合格；扶手垂直向下静载荷（750N，1min）测试合格；扶手水平静载荷（445N，1min）测试合格；脚轮往复磨损（加载113kg，有障碍物测试2000次，无障碍物测试98000次）测试合格；底座静载荷（7560N，1min，2次）测试合格；跌落（跌落高度200mm，10次）测试合格；家用软体家具阻燃性能满足外表及内部无续燃或阴燃；甲醛释放量0.03mg/m²h；安全性-基本安全、安全性-密封性能、安全性-耐高低温性能、安全性-循环寿命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教师办公桌</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1600*800*750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-10795</wp:posOffset>
                        </wp:positionH>
                        <wp:positionV relativeFrom="paragraph">
                          <wp:posOffset>1261110</wp:posOffset>
                        </wp:positionV>
                        <wp:extent cx="1173480" cy="794385"/>
                        <wp:effectExtent l="0" t="0" r="7620" b="5715"/>
                        <wp:wrapNone/>
                        <wp:docPr id="29" name="图片_1"/>
                        <wp:cNvGraphicFramePr/>
                        <a:graphic xmlns:a="http://schemas.openxmlformats.org/drawingml/2006/main">
                          <a:graphicData uri="http://schemas.openxmlformats.org/drawingml/2006/picture">
                            <pic:pic xmlns:pic="http://schemas.openxmlformats.org/drawingml/2006/picture">
                              <pic:nvPicPr>
                                <pic:cNvPr id="29" name="图片_1"/>
                                <pic:cNvPicPr/>
                              </pic:nvPicPr>
                              <pic:blipFill>
                                <a:blip r:embed="rId16"/>
                                <a:stretch>
                                  <a:fillRect/>
                                </a:stretch>
                              </pic:blipFill>
                              <pic:spPr>
                                <a:xfrm>
                                  <a:off x="0" y="0"/>
                                  <a:ext cx="1173480" cy="794385"/>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主材：采用环保三聚氰胺饰面板，甲醛释放限量≤0.04mg/m³，耐光色牢度＞4级，表面耐龟裂＞4级，表面耐干热＞4级，表面耐污染腐蚀（丙酮、咖啡（120g/L）、氢氧化钠溶液（25％）、双氧水（30％）、鞋油、柠檬酸溶液（10％））达到5级，表面耐香烟灼烧达到4级，表面耐磨磨耗值≤20mg/100r，表面耐划痕无大于90％的连续划痕，表面胶合强度≥1.0MPa，板内密度偏差±5%，24h吸水厚度膨胀率≤5%，挥发性有机化合物（72h）（苯、甲苯、二甲苯、总挥发性有机化合物（TVOC））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封边：采用环保ABS封边条，封边条表面无皱纹、裂纹、折痕、暗条痕、染色线、刀线、油渍、污点、黑斑、粘胶和杂质，无明显的气泡、针孔、划痕、波纹等瑕疵，封边条表面光滑，花纹清晰、均匀，无漏印。压纹（压花）表面有统一的花式，且压纹清晰、均匀，耐干热性、耐磨性、耐老化性以及耐冷热循环性均符合检测标准，甲醛释放量≤1.5mg/L，邻苯二甲酸酯（DBP、BBP、DEHP、DNOP、DINP、DIDP）的总量≤0.1%，可迁移元素（可溶性重金属）铅Pb、镉Cd铬Cr、汞Hg、锑Sb、砷As、钡Ba、硒Se均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3.ABS热熔胶：采用环保ABS热熔胶，总挥发性有机物≤4g/L。</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五金件：采用高强度铰链，具备垂直静载荷（过载）测试合格、水平静载荷（过载）测试合格，操作力耐久性试验前打开力16N、关闭力15N，操作力耐久性试验后打开力15N、关闭力14N，垂直静载荷测试合格，水平静载荷测试合格，经80000次耐久性测试后测试合格，下沉量≤1.5mm，金属件外观性能要求(电镀层)未见缺陷，经中性盐雾试验，连续喷雾216h后耐腐蚀等级≥9级。三合一偏心连接件:金属件外观涂层无漏喷、锈蚀和脱色、掉色现象，涂层光滑均匀，色泽一致，无流挂、疙瘩、皱皮、飞漆等缺陷，表面无剥落、返锈、毛刺，无烧焦、起泡、针孔、裂纹、花斑，酸盐雾试验（ASS）镀（涂）层本身的耐腐蚀等级≥10级、镀（涂）层对基体的保护等级≥10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5.钢架：采用厚度≥1.2MM矩管，抗静电塑粉表面材料。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茶几</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1200*600*450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36195</wp:posOffset>
                        </wp:positionH>
                        <wp:positionV relativeFrom="paragraph">
                          <wp:posOffset>956945</wp:posOffset>
                        </wp:positionV>
                        <wp:extent cx="1029335" cy="704850"/>
                        <wp:effectExtent l="0" t="0" r="18415" b="0"/>
                        <wp:wrapNone/>
                        <wp:docPr id="33" name="图片_30"/>
                        <wp:cNvGraphicFramePr/>
                        <a:graphic xmlns:a="http://schemas.openxmlformats.org/drawingml/2006/main">
                          <a:graphicData uri="http://schemas.openxmlformats.org/drawingml/2006/picture">
                            <pic:pic xmlns:pic="http://schemas.openxmlformats.org/drawingml/2006/picture">
                              <pic:nvPicPr>
                                <pic:cNvPr id="33" name="图片_30"/>
                                <pic:cNvPicPr/>
                              </pic:nvPicPr>
                              <pic:blipFill>
                                <a:blip r:embed="rId17"/>
                                <a:stretch>
                                  <a:fillRect/>
                                </a:stretch>
                              </pic:blipFill>
                              <pic:spPr>
                                <a:xfrm>
                                  <a:off x="0" y="0"/>
                                  <a:ext cx="1029335" cy="704850"/>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主材：采用环保三聚氰胺饰面板，甲醛释放限量≤0.04mg/m³，耐光色牢度＞4级，表面耐龟裂＞4级，表面耐干热＞4级，表面耐污染腐蚀（丙酮、咖啡（120g/L）、氢氧化钠溶液（25％）、双氧水（30％）、鞋油、柠檬酸溶液（10％））达到5级，表面耐香烟灼烧达到4级，表面耐磨磨耗值≤20mg/100r，表面耐划痕无大于90％的连续划痕，表面胶合强度≥1.0MPa，板内密度偏差±5%，24h吸水厚度膨胀率≤5%，挥发性有机化合物（72h）（苯、甲苯、二甲苯、总挥发性有机化合物（TVOC））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封边：采用环保ABS封边条，封边条表面无皱纹、裂纹、折痕、暗条痕、染色线、刀线、油渍、污点、黑斑、粘胶和杂质，无明显的气泡、针孔、划痕、波纹等瑕疵，封边条表面光滑，花纹清晰、均匀，无漏印。压纹（压花）表面有统一的花式，且压纹清晰、均匀，耐干热性、耐磨性、耐老化性以及耐冷热循环性均符合检测标准，甲醛释放量≤1.5mg/L，邻苯二甲酸酯（DBP、BBP、DEHP、DNOP、DINP、DIDP）的总量≤0.1%，可迁移元素（可溶性重金属）铅Pb、镉Cd铬Cr、汞Hg、锑Sb、砷As、钡Ba、硒Se均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3.ABS热熔胶：采用环保ABS热熔胶，总挥发性有机物≤4g/L。</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4.钢架：采用厚度≥1.2MM矩管，抗静电塑粉表面材料。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沙发</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三人位</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46355</wp:posOffset>
                        </wp:positionH>
                        <wp:positionV relativeFrom="paragraph">
                          <wp:posOffset>1186815</wp:posOffset>
                        </wp:positionV>
                        <wp:extent cx="1032510" cy="618490"/>
                        <wp:effectExtent l="0" t="0" r="15240" b="10160"/>
                        <wp:wrapNone/>
                        <wp:docPr id="34" name="图片_15"/>
                        <wp:cNvGraphicFramePr/>
                        <a:graphic xmlns:a="http://schemas.openxmlformats.org/drawingml/2006/main">
                          <a:graphicData uri="http://schemas.openxmlformats.org/drawingml/2006/picture">
                            <pic:pic xmlns:pic="http://schemas.openxmlformats.org/drawingml/2006/picture">
                              <pic:nvPicPr>
                                <pic:cNvPr id="34" name="图片_15"/>
                                <pic:cNvPicPr/>
                              </pic:nvPicPr>
                              <pic:blipFill>
                                <a:blip r:embed="rId18"/>
                                <a:stretch>
                                  <a:fillRect/>
                                </a:stretch>
                              </pic:blipFill>
                              <pic:spPr>
                                <a:xfrm>
                                  <a:off x="0" y="0"/>
                                  <a:ext cx="1032510" cy="618490"/>
                                </a:xfrm>
                                <a:prstGeom prst="rect">
                                  <a:avLst/>
                                </a:prstGeom>
                                <a:noFill/>
                                <a:ln>
                                  <a:noFill/>
                                </a:ln>
                              </pic:spPr>
                            </pic:pic>
                          </a:graphicData>
                        </a:graphic>
                      </wp:anchor>
                    </w:drawing>
                  </w:r>
                </w:p>
              </w:tc>
              <w:tc>
                <w:tcPr>
                  <w:tcW w:w="28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头层牛皮覆面，耐折牢度（50000次）无裂纹，耐磨性无明显损伤、剥落，撕裂力≥120N，游离甲醛≤21mg/kg，干擦摩擦色牢度≥4级，湿擦摩擦色牢度≥4级，碱性汗液摩擦色牢度≥4级，涂层沾着牢度≥5N/10mm，pH值≥4，禁用偶氮染料≤6mg/kg，挥发性有机物（VOC）≤15mg/kg，可萃取的重金属（铅（Pb）、镉（Cd））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2.海绵：采用高回弹海绵，表面有防腐和防变形保护膜，检测指标65%/25%压陷比≥2.1；75%压缩永久变形≤2%；泡沫塑料密度(座面)≥40kg/m³；拉伸强度≥180KPa；伸长率≥160%；回弹率≥60%；撕裂强度≥2.5N/cm；干热老化后拉伸强度≥150KPa；干热老化后拉伸强度变化率±30%；游离甲醛未检出(检出限值≤20mg/kg)；恒定负荷反复压陷疲劳性能≤20%；抗引燃特性检测时无续燃、无阴燃；25%压陷硬度(等级/196N)：196±18N。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3、▲皮沙发甲醛释放量≤0.05mg/m³，总挥发性有机化合物(TVOC)≤0.3mg/m³,家具涂层可迁移元素检测符合要求,皮革中五氯苯酚（PCP）符合标准要求，皮革和毛皮中可分解芳香胺染料未检出。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单人位</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28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0" w:hRule="atLeast"/>
              </w:trPr>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c>
                <w:tcPr>
                  <w:tcW w:w="1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工作前台</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2000*600*1200</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2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80010</wp:posOffset>
                        </wp:positionH>
                        <wp:positionV relativeFrom="paragraph">
                          <wp:posOffset>1567815</wp:posOffset>
                        </wp:positionV>
                        <wp:extent cx="1046480" cy="660400"/>
                        <wp:effectExtent l="0" t="0" r="1270" b="6350"/>
                        <wp:wrapNone/>
                        <wp:docPr id="30" name="图片_16"/>
                        <wp:cNvGraphicFramePr/>
                        <a:graphic xmlns:a="http://schemas.openxmlformats.org/drawingml/2006/main">
                          <a:graphicData uri="http://schemas.openxmlformats.org/drawingml/2006/picture">
                            <pic:pic xmlns:pic="http://schemas.openxmlformats.org/drawingml/2006/picture">
                              <pic:nvPicPr>
                                <pic:cNvPr id="30" name="图片_16"/>
                                <pic:cNvPicPr/>
                              </pic:nvPicPr>
                              <pic:blipFill>
                                <a:blip r:embed="rId19"/>
                                <a:stretch>
                                  <a:fillRect/>
                                </a:stretch>
                              </pic:blipFill>
                              <pic:spPr>
                                <a:xfrm>
                                  <a:off x="0" y="0"/>
                                  <a:ext cx="1046480" cy="660400"/>
                                </a:xfrm>
                                <a:prstGeom prst="rect">
                                  <a:avLst/>
                                </a:prstGeom>
                                <a:noFill/>
                                <a:ln>
                                  <a:noFill/>
                                </a:ln>
                              </pic:spPr>
                            </pic:pic>
                          </a:graphicData>
                        </a:graphic>
                      </wp:anchor>
                    </w:drawing>
                  </w:r>
                </w:p>
              </w:tc>
              <w:tc>
                <w:tcPr>
                  <w:tcW w:w="28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主材：采用环保三聚氰胺饰面板，甲醛释放限量≤0.04mg/m³，耐光色牢度＞4级，表面耐龟裂＞4级，表面耐干热＞4级，表面耐污染腐蚀（丙酮、咖啡（120g/L）、氢氧化钠溶液（25％）、双氧水（30％）、鞋油、柠檬酸溶液（10％））达到5级，表面耐香烟灼烧达到4级，表面耐磨磨耗值≤20mg/100r，表面耐划痕无大于90％的连续划痕，表面胶合强度≥1.0MPa，板内密度偏差±5%，24h吸水厚度膨胀率≤5%，挥发性有机化合物（72h）（苯、甲苯、二甲苯、总挥发性有机化合物（TVOC））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封边：采用环保ABS封边条，封边条表面无皱纹、裂纹、折痕、暗条痕、染色线、刀线、油渍、污点、黑斑、粘胶和杂质，无明显的气泡、针孔、划痕、波纹等瑕疵，封边条表面光滑，花纹清晰、均匀，无漏印。压纹（压花）表面有统一的花式，且压纹清晰、均匀，耐干热性、耐磨性、耐老化性以及耐冷热循环性均符合检测标准，甲醛释放量≤1.5mg/L，邻苯二甲酸酯（DBP、BBP、DEHP、DNOP、DINP、DIDP）的总量≤0.1%，可迁移元素（可溶性重金属）铅Pb、镉Cd铬Cr、汞Hg、锑Sb、砷As、钡Ba、硒Se均未检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3.ABS热熔胶：采用环保ABS热熔胶，总挥发性有机物≤4g/L。</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五金件：采用高强度铰链，具备垂直静载荷（过载）测试合格、水平静载荷（过载）测试合格，操作力耐久性试验前打开力16N、关闭力15N，操作力耐久性试验后打开力15N、关闭力14N，垂直静载荷测试合格，水平静载荷测试合格，经80000次耐久性测试后测试合格，下沉量≤1.5mm，金属件外观性能要求(电镀层)未见缺陷，经中性盐雾试验，连续喷雾216h后耐腐蚀等级≥9级。三合一偏心连接件:金属件外观涂层无漏喷、锈蚀和脱色、掉色现象，涂层光滑均匀，色泽一致，无流挂、疙瘩、皱皮、飞漆等缺陷，表面无剥落、返锈、毛刺，无烧焦、起泡、针孔、裂纹、花斑，酸盐雾试验（ASS）镀（涂）层本身的耐腐蚀等级≥10级、镀（涂）层对基体的保护等级≥10级。</w:t>
                  </w:r>
                </w:p>
              </w:tc>
            </w:tr>
          </w:tbl>
          <w:p>
            <w:pPr>
              <w:widowControl/>
              <w:spacing w:line="480" w:lineRule="auto"/>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gridSpan w:val="3"/>
          </w:tcPr>
          <w:p>
            <w:pPr>
              <w:widowControl/>
              <w:spacing w:line="480" w:lineRule="auto"/>
              <w:rPr>
                <w:rFonts w:ascii="宋体" w:hAnsi="宋体" w:eastAsia="宋体" w:cs="宋体"/>
                <w:color w:val="333333"/>
                <w:kern w:val="0"/>
                <w:sz w:val="24"/>
                <w:szCs w:val="24"/>
              </w:rPr>
            </w:pPr>
          </w:p>
        </w:tc>
      </w:tr>
    </w:tbl>
    <w:p>
      <w:pPr>
        <w:widowControl/>
        <w:shd w:val="clear" w:color="auto" w:fill="FFFFFF"/>
        <w:spacing w:line="480" w:lineRule="auto"/>
        <w:ind w:firstLine="360" w:firstLineChars="150"/>
        <w:rPr>
          <w:color w:val="FF0000"/>
          <w:sz w:val="24"/>
        </w:rPr>
      </w:pPr>
      <w:r>
        <w:rPr>
          <w:rFonts w:hint="eastAsia"/>
          <w:color w:val="FF0000"/>
          <w:sz w:val="24"/>
        </w:rPr>
        <w:t>品目信息二的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p>
      <w:pPr>
        <w:widowControl/>
        <w:shd w:val="clear" w:color="auto" w:fill="FFFFFF"/>
        <w:spacing w:line="480" w:lineRule="auto"/>
        <w:ind w:firstLine="360" w:firstLineChars="150"/>
        <w:rPr>
          <w:color w:val="FF0000"/>
          <w:sz w:val="24"/>
        </w:rPr>
      </w:pPr>
      <w:r>
        <w:rPr>
          <w:rFonts w:hint="eastAsia"/>
          <w:color w:val="FF0000"/>
          <w:sz w:val="24"/>
        </w:rPr>
        <w:t>品目信息三的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p>
      <w:pPr>
        <w:widowControl/>
        <w:shd w:val="clear" w:color="auto" w:fill="FFFFFF"/>
        <w:spacing w:line="480" w:lineRule="auto"/>
        <w:ind w:firstLine="360" w:firstLineChars="150"/>
        <w:rPr>
          <w:rFonts w:ascii="宋体" w:hAnsi="宋体" w:eastAsia="宋体" w:cs="宋体"/>
          <w:color w:val="FF0000"/>
          <w:kern w:val="0"/>
          <w:sz w:val="24"/>
          <w:szCs w:val="24"/>
        </w:rPr>
      </w:pPr>
      <w:r>
        <w:rPr>
          <w:rFonts w:hint="eastAsia"/>
          <w:color w:val="FF0000"/>
          <w:sz w:val="24"/>
        </w:rPr>
        <w:t>……</w:t>
      </w:r>
    </w:p>
    <w:p>
      <w:pPr>
        <w:widowControl/>
        <w:shd w:val="clear" w:color="auto" w:fill="FFFFFF"/>
        <w:spacing w:line="480" w:lineRule="auto"/>
        <w:ind w:firstLine="360" w:firstLineChars="150"/>
        <w:rPr>
          <w:rFonts w:ascii="宋体" w:hAnsi="宋体" w:eastAsia="宋体" w:cs="宋体"/>
          <w:color w:val="333333"/>
          <w:kern w:val="0"/>
          <w:sz w:val="24"/>
          <w:szCs w:val="24"/>
        </w:rPr>
      </w:pPr>
      <w:r>
        <w:rPr>
          <w:rFonts w:hint="eastAsia" w:ascii="宋体" w:hAnsi="宋体" w:eastAsia="宋体" w:cs="宋体"/>
          <w:color w:val="FF0000"/>
          <w:kern w:val="0"/>
          <w:sz w:val="24"/>
          <w:szCs w:val="24"/>
        </w:rPr>
        <w:t>评审</w:t>
      </w:r>
      <w:r>
        <w:rPr>
          <w:rFonts w:ascii="宋体" w:hAnsi="宋体" w:eastAsia="宋体" w:cs="宋体"/>
          <w:color w:val="FF0000"/>
          <w:kern w:val="0"/>
          <w:sz w:val="24"/>
          <w:szCs w:val="24"/>
        </w:rPr>
        <w:t>条款</w:t>
      </w:r>
      <w:r>
        <w:rPr>
          <w:rFonts w:hint="eastAsia" w:ascii="宋体" w:hAnsi="宋体" w:eastAsia="宋体" w:cs="宋体"/>
          <w:color w:val="FF0000"/>
          <w:kern w:val="0"/>
          <w:sz w:val="24"/>
          <w:szCs w:val="24"/>
        </w:rPr>
        <w:t>：</w:t>
      </w:r>
      <w:r>
        <w:rPr>
          <w:rFonts w:ascii="宋体" w:hAnsi="宋体" w:eastAsia="宋体" w:cs="宋体"/>
          <w:color w:val="333333"/>
          <w:kern w:val="0"/>
          <w:sz w:val="24"/>
          <w:szCs w:val="24"/>
        </w:rPr>
        <w:t xml:space="preserve"> </w:t>
      </w:r>
    </w:p>
    <w:p>
      <w:pPr>
        <w:widowControl/>
        <w:shd w:val="clear" w:color="auto" w:fill="FFFFFF"/>
        <w:spacing w:line="480" w:lineRule="auto"/>
        <w:ind w:firstLine="360" w:firstLineChars="150"/>
        <w:rPr>
          <w:rFonts w:ascii="宋体" w:hAnsi="宋体" w:eastAsia="宋体" w:cs="宋体"/>
          <w:color w:val="333333"/>
          <w:kern w:val="0"/>
          <w:sz w:val="24"/>
          <w:szCs w:val="24"/>
        </w:rPr>
      </w:pPr>
      <w:r>
        <w:rPr>
          <w:rFonts w:hint="eastAsia" w:ascii="宋体" w:hAnsi="宋体" w:eastAsia="宋体" w:cs="宋体"/>
          <w:color w:val="0000FF"/>
          <w:kern w:val="0"/>
          <w:sz w:val="24"/>
          <w:szCs w:val="24"/>
        </w:rPr>
        <w:t>☑</w:t>
      </w:r>
      <w:r>
        <w:rPr>
          <w:rFonts w:hint="eastAsia" w:ascii="宋体" w:hAnsi="宋体" w:eastAsia="宋体" w:cs="宋体"/>
          <w:color w:val="333333"/>
          <w:kern w:val="0"/>
          <w:sz w:val="24"/>
          <w:szCs w:val="24"/>
        </w:rPr>
        <w:t xml:space="preserve">综合评分法      </w:t>
      </w:r>
    </w:p>
    <w:tbl>
      <w:tblPr>
        <w:tblStyle w:val="12"/>
        <w:tblW w:w="109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993"/>
        <w:gridCol w:w="1701"/>
        <w:gridCol w:w="4961"/>
        <w:gridCol w:w="8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Pr>
          <w:p>
            <w:pPr>
              <w:widowControl/>
              <w:spacing w:line="480" w:lineRule="auto"/>
              <w:rPr>
                <w:rFonts w:ascii="宋体" w:hAnsi="宋体" w:eastAsia="宋体" w:cs="宋体"/>
                <w:b/>
                <w:color w:val="333333"/>
                <w:kern w:val="0"/>
                <w:sz w:val="22"/>
                <w:szCs w:val="24"/>
              </w:rPr>
            </w:pPr>
            <w:r>
              <w:rPr>
                <w:rFonts w:hint="eastAsia" w:ascii="宋体" w:hAnsi="宋体" w:eastAsia="宋体" w:cs="宋体"/>
                <w:b/>
                <w:color w:val="333333"/>
                <w:kern w:val="0"/>
                <w:sz w:val="22"/>
                <w:szCs w:val="24"/>
              </w:rPr>
              <w:t>评审项编号</w:t>
            </w:r>
          </w:p>
        </w:tc>
        <w:tc>
          <w:tcPr>
            <w:tcW w:w="993" w:type="dxa"/>
          </w:tcPr>
          <w:p>
            <w:pPr>
              <w:widowControl/>
              <w:spacing w:line="480" w:lineRule="auto"/>
              <w:rPr>
                <w:rFonts w:ascii="宋体" w:hAnsi="宋体" w:eastAsia="宋体" w:cs="宋体"/>
                <w:b/>
                <w:color w:val="333333"/>
                <w:kern w:val="0"/>
                <w:sz w:val="22"/>
                <w:szCs w:val="24"/>
              </w:rPr>
            </w:pPr>
            <w:r>
              <w:rPr>
                <w:rFonts w:hint="eastAsia" w:ascii="宋体" w:hAnsi="宋体" w:eastAsia="宋体" w:cs="宋体"/>
                <w:b/>
                <w:color w:val="333333"/>
                <w:kern w:val="0"/>
                <w:sz w:val="22"/>
                <w:szCs w:val="24"/>
              </w:rPr>
              <w:t>一级评审项</w:t>
            </w:r>
          </w:p>
        </w:tc>
        <w:tc>
          <w:tcPr>
            <w:tcW w:w="1701" w:type="dxa"/>
          </w:tcPr>
          <w:p>
            <w:pPr>
              <w:widowControl/>
              <w:spacing w:line="480" w:lineRule="auto"/>
              <w:rPr>
                <w:rFonts w:ascii="宋体" w:hAnsi="宋体" w:eastAsia="宋体" w:cs="宋体"/>
                <w:b/>
                <w:color w:val="333333"/>
                <w:kern w:val="0"/>
                <w:sz w:val="22"/>
                <w:szCs w:val="24"/>
              </w:rPr>
            </w:pPr>
            <w:r>
              <w:rPr>
                <w:rFonts w:hint="eastAsia" w:ascii="宋体" w:hAnsi="宋体" w:eastAsia="宋体" w:cs="宋体"/>
                <w:b/>
                <w:color w:val="333333"/>
                <w:kern w:val="0"/>
                <w:sz w:val="22"/>
                <w:szCs w:val="24"/>
              </w:rPr>
              <w:t>二级评审项</w:t>
            </w:r>
          </w:p>
        </w:tc>
        <w:tc>
          <w:tcPr>
            <w:tcW w:w="4961" w:type="dxa"/>
          </w:tcPr>
          <w:p>
            <w:pPr>
              <w:widowControl/>
              <w:spacing w:line="480" w:lineRule="auto"/>
              <w:jc w:val="center"/>
              <w:rPr>
                <w:rFonts w:ascii="宋体" w:hAnsi="宋体" w:eastAsia="宋体" w:cs="宋体"/>
                <w:b/>
                <w:color w:val="333333"/>
                <w:kern w:val="0"/>
                <w:sz w:val="22"/>
                <w:szCs w:val="24"/>
              </w:rPr>
            </w:pPr>
            <w:r>
              <w:rPr>
                <w:rFonts w:hint="eastAsia" w:ascii="宋体" w:hAnsi="宋体" w:eastAsia="宋体" w:cs="宋体"/>
                <w:b/>
                <w:color w:val="333333"/>
                <w:kern w:val="0"/>
                <w:sz w:val="22"/>
                <w:szCs w:val="24"/>
              </w:rPr>
              <w:t>详细要求</w:t>
            </w:r>
          </w:p>
        </w:tc>
        <w:tc>
          <w:tcPr>
            <w:tcW w:w="851" w:type="dxa"/>
          </w:tcPr>
          <w:p>
            <w:pPr>
              <w:widowControl/>
              <w:spacing w:line="480" w:lineRule="auto"/>
              <w:rPr>
                <w:rFonts w:ascii="宋体" w:hAnsi="宋体" w:eastAsia="宋体" w:cs="宋体"/>
                <w:b/>
                <w:color w:val="333333"/>
                <w:kern w:val="0"/>
                <w:sz w:val="22"/>
                <w:szCs w:val="24"/>
              </w:rPr>
            </w:pPr>
            <w:r>
              <w:rPr>
                <w:rFonts w:hint="eastAsia" w:ascii="宋体" w:hAnsi="宋体" w:eastAsia="宋体" w:cs="宋体"/>
                <w:b/>
                <w:color w:val="333333"/>
                <w:kern w:val="0"/>
                <w:sz w:val="22"/>
                <w:szCs w:val="24"/>
              </w:rPr>
              <w:t>分值</w:t>
            </w:r>
          </w:p>
        </w:tc>
        <w:tc>
          <w:tcPr>
            <w:tcW w:w="1417" w:type="dxa"/>
          </w:tcPr>
          <w:p>
            <w:pPr>
              <w:widowControl/>
              <w:spacing w:line="480" w:lineRule="auto"/>
              <w:rPr>
                <w:rFonts w:ascii="宋体" w:hAnsi="宋体" w:eastAsia="宋体" w:cs="宋体"/>
                <w:b/>
                <w:color w:val="333333"/>
                <w:kern w:val="0"/>
                <w:sz w:val="22"/>
                <w:szCs w:val="24"/>
              </w:rPr>
            </w:pPr>
            <w:r>
              <w:rPr>
                <w:rFonts w:hint="eastAsia" w:ascii="宋体" w:hAnsi="宋体" w:eastAsia="宋体" w:cs="宋体"/>
                <w:b/>
                <w:color w:val="333333"/>
                <w:kern w:val="0"/>
                <w:sz w:val="22"/>
                <w:szCs w:val="24"/>
              </w:rPr>
              <w:t>客观评审项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92" w:type="dxa"/>
          </w:tcPr>
          <w:p>
            <w:pPr>
              <w:widowControl/>
              <w:spacing w:line="480" w:lineRule="auto"/>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p>
        </w:tc>
        <w:tc>
          <w:tcPr>
            <w:tcW w:w="993" w:type="dxa"/>
          </w:tcPr>
          <w:p>
            <w:pPr>
              <w:widowControl/>
              <w:spacing w:line="480" w:lineRule="auto"/>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p>
        </w:tc>
        <w:tc>
          <w:tcPr>
            <w:tcW w:w="1701" w:type="dxa"/>
          </w:tcPr>
          <w:p>
            <w:pPr>
              <w:widowControl/>
              <w:spacing w:line="480" w:lineRule="auto"/>
              <w:rPr>
                <w:rFonts w:ascii="宋体" w:hAnsi="宋体" w:eastAsia="宋体" w:cs="宋体"/>
                <w:color w:val="333333"/>
                <w:kern w:val="0"/>
                <w:sz w:val="24"/>
                <w:szCs w:val="24"/>
              </w:rPr>
            </w:pPr>
          </w:p>
        </w:tc>
        <w:tc>
          <w:tcPr>
            <w:tcW w:w="4961" w:type="dxa"/>
          </w:tcPr>
          <w:p>
            <w:pPr>
              <w:widowControl/>
              <w:spacing w:line="480" w:lineRule="auto"/>
              <w:rPr>
                <w:rFonts w:ascii="宋体" w:hAnsi="宋体" w:eastAsia="宋体" w:cs="宋体"/>
                <w:color w:val="333333"/>
                <w:kern w:val="0"/>
                <w:sz w:val="24"/>
                <w:szCs w:val="24"/>
              </w:rPr>
            </w:pPr>
          </w:p>
        </w:tc>
        <w:tc>
          <w:tcPr>
            <w:tcW w:w="851" w:type="dxa"/>
          </w:tcPr>
          <w:p>
            <w:pPr>
              <w:widowControl/>
              <w:spacing w:line="480" w:lineRule="auto"/>
              <w:rPr>
                <w:rFonts w:ascii="宋体" w:hAnsi="宋体" w:eastAsia="宋体" w:cs="宋体"/>
                <w:color w:val="333333"/>
                <w:kern w:val="0"/>
                <w:sz w:val="24"/>
                <w:szCs w:val="24"/>
              </w:rPr>
            </w:pPr>
          </w:p>
        </w:tc>
        <w:tc>
          <w:tcPr>
            <w:tcW w:w="1417" w:type="dxa"/>
          </w:tcPr>
          <w:p>
            <w:pPr>
              <w:widowControl/>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92" w:type="dxa"/>
          </w:tcPr>
          <w:p>
            <w:pPr>
              <w:widowControl/>
              <w:spacing w:line="480" w:lineRule="auto"/>
              <w:rPr>
                <w:rFonts w:ascii="宋体" w:hAnsi="宋体" w:eastAsia="宋体" w:cs="宋体"/>
                <w:color w:val="333333"/>
                <w:kern w:val="0"/>
                <w:sz w:val="24"/>
                <w:szCs w:val="24"/>
              </w:rPr>
            </w:pPr>
          </w:p>
        </w:tc>
        <w:tc>
          <w:tcPr>
            <w:tcW w:w="993" w:type="dxa"/>
          </w:tcPr>
          <w:p>
            <w:pPr>
              <w:widowControl/>
              <w:spacing w:line="480" w:lineRule="auto"/>
              <w:rPr>
                <w:rFonts w:ascii="宋体" w:hAnsi="宋体" w:eastAsia="宋体" w:cs="宋体"/>
                <w:color w:val="333333"/>
                <w:kern w:val="0"/>
                <w:sz w:val="24"/>
                <w:szCs w:val="24"/>
              </w:rPr>
            </w:pPr>
          </w:p>
        </w:tc>
        <w:tc>
          <w:tcPr>
            <w:tcW w:w="1701" w:type="dxa"/>
          </w:tcPr>
          <w:p>
            <w:pPr>
              <w:widowControl/>
              <w:spacing w:line="480" w:lineRule="auto"/>
              <w:rPr>
                <w:rFonts w:ascii="宋体" w:hAnsi="宋体" w:eastAsia="宋体" w:cs="宋体"/>
                <w:color w:val="333333"/>
                <w:kern w:val="0"/>
                <w:sz w:val="24"/>
                <w:szCs w:val="24"/>
              </w:rPr>
            </w:pPr>
          </w:p>
        </w:tc>
        <w:tc>
          <w:tcPr>
            <w:tcW w:w="4961" w:type="dxa"/>
          </w:tcPr>
          <w:p>
            <w:pPr>
              <w:widowControl/>
              <w:spacing w:line="480" w:lineRule="auto"/>
              <w:rPr>
                <w:rFonts w:ascii="宋体" w:hAnsi="宋体" w:eastAsia="宋体" w:cs="宋体"/>
                <w:color w:val="333333"/>
                <w:kern w:val="0"/>
                <w:sz w:val="24"/>
                <w:szCs w:val="24"/>
              </w:rPr>
            </w:pPr>
          </w:p>
        </w:tc>
        <w:tc>
          <w:tcPr>
            <w:tcW w:w="851" w:type="dxa"/>
          </w:tcPr>
          <w:p>
            <w:pPr>
              <w:widowControl/>
              <w:spacing w:line="480" w:lineRule="auto"/>
              <w:rPr>
                <w:rFonts w:ascii="宋体" w:hAnsi="宋体" w:eastAsia="宋体" w:cs="宋体"/>
                <w:color w:val="333333"/>
                <w:kern w:val="0"/>
                <w:sz w:val="24"/>
                <w:szCs w:val="24"/>
              </w:rPr>
            </w:pPr>
          </w:p>
        </w:tc>
        <w:tc>
          <w:tcPr>
            <w:tcW w:w="1417" w:type="dxa"/>
          </w:tcPr>
          <w:p>
            <w:pPr>
              <w:widowControl/>
              <w:spacing w:line="480" w:lineRule="auto"/>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spacing w:line="480" w:lineRule="auto"/>
              <w:rPr>
                <w:rFonts w:ascii="宋体" w:hAnsi="宋体" w:eastAsia="宋体" w:cs="宋体"/>
                <w:color w:val="333333"/>
                <w:kern w:val="0"/>
                <w:sz w:val="24"/>
                <w:szCs w:val="24"/>
              </w:rPr>
            </w:pPr>
          </w:p>
        </w:tc>
        <w:tc>
          <w:tcPr>
            <w:tcW w:w="993" w:type="dxa"/>
          </w:tcPr>
          <w:p>
            <w:pPr>
              <w:widowControl/>
              <w:spacing w:line="480" w:lineRule="auto"/>
              <w:rPr>
                <w:rFonts w:ascii="宋体" w:hAnsi="宋体" w:eastAsia="宋体" w:cs="宋体"/>
                <w:color w:val="333333"/>
                <w:kern w:val="0"/>
                <w:sz w:val="24"/>
                <w:szCs w:val="24"/>
              </w:rPr>
            </w:pPr>
          </w:p>
        </w:tc>
        <w:tc>
          <w:tcPr>
            <w:tcW w:w="1701" w:type="dxa"/>
          </w:tcPr>
          <w:p>
            <w:pPr>
              <w:widowControl/>
              <w:spacing w:line="480" w:lineRule="auto"/>
              <w:rPr>
                <w:rFonts w:ascii="宋体" w:hAnsi="宋体" w:eastAsia="宋体" w:cs="宋体"/>
                <w:color w:val="333333"/>
                <w:kern w:val="0"/>
                <w:sz w:val="24"/>
                <w:szCs w:val="24"/>
              </w:rPr>
            </w:pPr>
          </w:p>
        </w:tc>
        <w:tc>
          <w:tcPr>
            <w:tcW w:w="4961" w:type="dxa"/>
          </w:tcPr>
          <w:p>
            <w:pPr>
              <w:widowControl/>
              <w:spacing w:line="480" w:lineRule="auto"/>
              <w:rPr>
                <w:rFonts w:ascii="宋体" w:hAnsi="宋体" w:eastAsia="宋体" w:cs="宋体"/>
                <w:color w:val="333333"/>
                <w:kern w:val="0"/>
                <w:sz w:val="24"/>
                <w:szCs w:val="24"/>
              </w:rPr>
            </w:pPr>
          </w:p>
        </w:tc>
        <w:tc>
          <w:tcPr>
            <w:tcW w:w="851" w:type="dxa"/>
          </w:tcPr>
          <w:p>
            <w:pPr>
              <w:widowControl/>
              <w:spacing w:line="480" w:lineRule="auto"/>
              <w:rPr>
                <w:rFonts w:ascii="宋体" w:hAnsi="宋体" w:eastAsia="宋体" w:cs="宋体"/>
                <w:color w:val="333333"/>
                <w:kern w:val="0"/>
                <w:sz w:val="24"/>
                <w:szCs w:val="24"/>
              </w:rPr>
            </w:pPr>
          </w:p>
        </w:tc>
        <w:tc>
          <w:tcPr>
            <w:tcW w:w="1417" w:type="dxa"/>
          </w:tcPr>
          <w:p>
            <w:pPr>
              <w:widowControl/>
              <w:spacing w:line="480" w:lineRule="auto"/>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widowControl/>
              <w:spacing w:line="480" w:lineRule="auto"/>
              <w:rPr>
                <w:rFonts w:ascii="宋体" w:hAnsi="宋体" w:eastAsia="宋体" w:cs="宋体"/>
                <w:color w:val="333333"/>
                <w:kern w:val="0"/>
                <w:sz w:val="24"/>
                <w:szCs w:val="24"/>
              </w:rPr>
            </w:pPr>
          </w:p>
        </w:tc>
        <w:tc>
          <w:tcPr>
            <w:tcW w:w="993" w:type="dxa"/>
          </w:tcPr>
          <w:p>
            <w:pPr>
              <w:widowControl/>
              <w:spacing w:line="480" w:lineRule="auto"/>
              <w:rPr>
                <w:rFonts w:ascii="宋体" w:hAnsi="宋体" w:eastAsia="宋体" w:cs="宋体"/>
                <w:color w:val="333333"/>
                <w:kern w:val="0"/>
                <w:sz w:val="24"/>
                <w:szCs w:val="24"/>
              </w:rPr>
            </w:pPr>
          </w:p>
        </w:tc>
        <w:tc>
          <w:tcPr>
            <w:tcW w:w="1701" w:type="dxa"/>
          </w:tcPr>
          <w:p>
            <w:pPr>
              <w:widowControl/>
              <w:spacing w:line="480" w:lineRule="auto"/>
              <w:rPr>
                <w:rFonts w:ascii="宋体" w:hAnsi="宋体" w:eastAsia="宋体" w:cs="宋体"/>
                <w:color w:val="333333"/>
                <w:kern w:val="0"/>
                <w:sz w:val="24"/>
                <w:szCs w:val="24"/>
              </w:rPr>
            </w:pPr>
          </w:p>
        </w:tc>
        <w:tc>
          <w:tcPr>
            <w:tcW w:w="4961" w:type="dxa"/>
          </w:tcPr>
          <w:p>
            <w:pPr>
              <w:widowControl/>
              <w:spacing w:line="480" w:lineRule="auto"/>
              <w:rPr>
                <w:rFonts w:ascii="宋体" w:hAnsi="宋体" w:eastAsia="宋体" w:cs="宋体"/>
                <w:color w:val="333333"/>
                <w:kern w:val="0"/>
                <w:sz w:val="24"/>
                <w:szCs w:val="24"/>
              </w:rPr>
            </w:pPr>
          </w:p>
        </w:tc>
        <w:tc>
          <w:tcPr>
            <w:tcW w:w="851" w:type="dxa"/>
          </w:tcPr>
          <w:p>
            <w:pPr>
              <w:widowControl/>
              <w:spacing w:line="480" w:lineRule="auto"/>
              <w:rPr>
                <w:rFonts w:ascii="宋体" w:hAnsi="宋体" w:eastAsia="宋体" w:cs="宋体"/>
                <w:color w:val="333333"/>
                <w:kern w:val="0"/>
                <w:sz w:val="24"/>
                <w:szCs w:val="24"/>
              </w:rPr>
            </w:pPr>
          </w:p>
        </w:tc>
        <w:tc>
          <w:tcPr>
            <w:tcW w:w="1417" w:type="dxa"/>
          </w:tcPr>
          <w:p>
            <w:pPr>
              <w:widowControl/>
              <w:spacing w:line="480" w:lineRule="auto"/>
              <w:rPr>
                <w:rFonts w:ascii="宋体" w:hAnsi="宋体" w:eastAsia="宋体" w:cs="宋体"/>
                <w:color w:val="333333"/>
                <w:kern w:val="0"/>
                <w:sz w:val="24"/>
                <w:szCs w:val="24"/>
              </w:rPr>
            </w:pPr>
          </w:p>
        </w:tc>
      </w:tr>
    </w:tbl>
    <w:tbl>
      <w:tblPr>
        <w:tblStyle w:val="11"/>
        <w:tblW w:w="10283"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autofit"/>
        <w:tblCellMar>
          <w:top w:w="0" w:type="dxa"/>
          <w:left w:w="0" w:type="dxa"/>
          <w:bottom w:w="0" w:type="dxa"/>
          <w:right w:w="0" w:type="dxa"/>
        </w:tblCellMar>
      </w:tblPr>
      <w:tblGrid>
        <w:gridCol w:w="808"/>
        <w:gridCol w:w="1052"/>
        <w:gridCol w:w="680"/>
        <w:gridCol w:w="6374"/>
        <w:gridCol w:w="1369"/>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rPr>
              <w:t>序号</w:t>
            </w:r>
          </w:p>
        </w:tc>
        <w:tc>
          <w:tcPr>
            <w:tcW w:w="10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rPr>
              <w:t>评分因素及权重</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rPr>
              <w:t>分值</w:t>
            </w:r>
          </w:p>
        </w:tc>
        <w:tc>
          <w:tcPr>
            <w:tcW w:w="637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rPr>
              <w:t>评分标准</w:t>
            </w: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rPr>
              <w:t>备注</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rPr>
              <w:t>1</w:t>
            </w:r>
          </w:p>
        </w:tc>
        <w:tc>
          <w:tcPr>
            <w:tcW w:w="10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rPr>
              <w:t>投标报价4</w:t>
            </w:r>
            <w:r>
              <w:rPr>
                <w:rStyle w:val="20"/>
                <w:rFonts w:ascii="宋体" w:hAnsi="宋体" w:cs="宋体"/>
                <w:color w:val="0000FF"/>
                <w:szCs w:val="21"/>
              </w:rPr>
              <w:t>0</w:t>
            </w:r>
            <w:r>
              <w:rPr>
                <w:rStyle w:val="20"/>
                <w:rFonts w:hint="eastAsia" w:ascii="宋体" w:hAnsi="宋体" w:cs="宋体"/>
                <w:color w:val="0000FF"/>
                <w:szCs w:val="21"/>
              </w:rPr>
              <w:t>%</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ascii="宋体" w:hAnsi="宋体" w:cs="宋体"/>
                <w:color w:val="0000FF"/>
                <w:szCs w:val="21"/>
              </w:rPr>
              <w:t>4</w:t>
            </w:r>
            <w:r>
              <w:rPr>
                <w:rStyle w:val="20"/>
                <w:szCs w:val="21"/>
              </w:rPr>
              <w:t>0</w:t>
            </w:r>
            <w:r>
              <w:rPr>
                <w:rStyle w:val="20"/>
                <w:rFonts w:hint="eastAsia" w:ascii="宋体" w:hAnsi="宋体" w:cs="宋体"/>
                <w:color w:val="0000FF"/>
                <w:szCs w:val="21"/>
              </w:rPr>
              <w:t>分</w:t>
            </w:r>
          </w:p>
        </w:tc>
        <w:tc>
          <w:tcPr>
            <w:tcW w:w="6374" w:type="dxa"/>
            <w:tcBorders>
              <w:top w:val="single" w:color="000000" w:sz="4" w:space="0"/>
              <w:left w:val="single" w:color="000000" w:sz="4" w:space="0"/>
              <w:bottom w:val="single" w:color="000000" w:sz="4" w:space="0"/>
              <w:right w:val="single" w:color="000000" w:sz="4" w:space="0"/>
            </w:tcBorders>
            <w:vAlign w:val="center"/>
          </w:tcPr>
          <w:p>
            <w:pPr>
              <w:pStyle w:val="4"/>
              <w:snapToGrid w:val="0"/>
              <w:spacing w:line="240" w:lineRule="atLeast"/>
              <w:ind w:left="285" w:leftChars="62" w:right="145" w:rightChars="69" w:hanging="155" w:hangingChars="74"/>
              <w:contextualSpacing/>
              <w:rPr>
                <w:b w:val="0"/>
                <w:color w:val="3333FF"/>
                <w:sz w:val="21"/>
                <w:szCs w:val="21"/>
              </w:rPr>
            </w:pPr>
            <w:r>
              <w:rPr>
                <w:rFonts w:hint="eastAsia"/>
                <w:b w:val="0"/>
                <w:color w:val="3333FF"/>
                <w:sz w:val="21"/>
                <w:szCs w:val="21"/>
              </w:rPr>
              <w:t>1、对小型和微型企业、监狱企业或残疾人福利性单位生产的产品的价格（如涉及）给予10%的价格扣除，用扣除后的价格参与评审；[说明：投标人为监狱企业的，提供由省级以上监狱管理局、戒毒管理局（含新疆生产建设兵团）出具的投标人属于监狱企业的证明文件复印件。]</w:t>
            </w:r>
          </w:p>
          <w:p>
            <w:pPr>
              <w:pStyle w:val="4"/>
              <w:snapToGrid w:val="0"/>
              <w:spacing w:line="240" w:lineRule="atLeast"/>
              <w:ind w:left="285" w:leftChars="62" w:right="145" w:rightChars="69" w:hanging="155" w:hangingChars="74"/>
              <w:contextualSpacing/>
              <w:rPr>
                <w:b w:val="0"/>
                <w:color w:val="3333FF"/>
                <w:sz w:val="21"/>
                <w:szCs w:val="21"/>
              </w:rPr>
            </w:pPr>
            <w:r>
              <w:rPr>
                <w:rFonts w:hint="eastAsia"/>
                <w:b w:val="0"/>
                <w:color w:val="3333FF"/>
                <w:sz w:val="21"/>
                <w:szCs w:val="21"/>
              </w:rPr>
              <w:t>2、经评标委员会评审，通过资格性和符合性审查，且投标报价最低的投标人的投标报价作为评标基准价；</w:t>
            </w:r>
          </w:p>
          <w:p>
            <w:pPr>
              <w:pStyle w:val="4"/>
              <w:snapToGrid w:val="0"/>
              <w:spacing w:line="240" w:lineRule="atLeast"/>
              <w:ind w:left="130" w:leftChars="62" w:firstLine="0"/>
              <w:contextualSpacing/>
              <w:rPr>
                <w:b w:val="0"/>
                <w:color w:val="3333FF"/>
                <w:sz w:val="21"/>
                <w:szCs w:val="21"/>
              </w:rPr>
            </w:pPr>
            <w:r>
              <w:rPr>
                <w:rFonts w:hint="eastAsia"/>
                <w:b w:val="0"/>
                <w:color w:val="3333FF"/>
                <w:sz w:val="21"/>
                <w:szCs w:val="21"/>
              </w:rPr>
              <w:t>3、投标报价得分=(评标基准价/投标报价)×40。</w:t>
            </w:r>
          </w:p>
          <w:p>
            <w:pPr>
              <w:pStyle w:val="4"/>
              <w:snapToGrid w:val="0"/>
              <w:spacing w:line="240" w:lineRule="atLeast"/>
              <w:ind w:left="0" w:firstLine="0"/>
              <w:contextualSpacing/>
              <w:rPr>
                <w:b w:val="0"/>
                <w:color w:val="auto"/>
                <w:sz w:val="21"/>
                <w:szCs w:val="21"/>
              </w:rPr>
            </w:pPr>
            <w:r>
              <w:rPr>
                <w:rFonts w:hint="eastAsia"/>
                <w:b w:val="0"/>
                <w:color w:val="3333FF"/>
                <w:sz w:val="21"/>
                <w:szCs w:val="21"/>
              </w:rPr>
              <w:t>（说明：同一产品仅作一次价格扣除。）</w:t>
            </w:r>
          </w:p>
        </w:tc>
        <w:tc>
          <w:tcPr>
            <w:tcW w:w="1369" w:type="dxa"/>
            <w:tcBorders>
              <w:top w:val="single" w:color="000000" w:sz="4" w:space="0"/>
              <w:left w:val="single" w:color="000000" w:sz="4" w:space="0"/>
              <w:bottom w:val="single" w:color="000000" w:sz="4" w:space="0"/>
              <w:right w:val="single" w:color="000000" w:sz="4" w:space="0"/>
            </w:tcBorders>
          </w:tcPr>
          <w:p>
            <w:pPr>
              <w:textAlignment w:val="baseline"/>
              <w:rPr>
                <w:rStyle w:val="20"/>
                <w:rFonts w:ascii="宋体" w:hAnsi="宋体" w:cs="宋体"/>
                <w:color w:val="0000FF"/>
                <w:szCs w:val="21"/>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rPr>
              <w:t>2</w:t>
            </w:r>
          </w:p>
        </w:tc>
        <w:tc>
          <w:tcPr>
            <w:tcW w:w="10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rPr>
              <w:t>产品技术参数及性能</w:t>
            </w:r>
            <w:r>
              <w:rPr>
                <w:rStyle w:val="20"/>
                <w:rFonts w:ascii="宋体" w:hAnsi="宋体" w:cs="宋体"/>
                <w:color w:val="0000FF"/>
                <w:szCs w:val="21"/>
              </w:rPr>
              <w:t>3</w:t>
            </w:r>
            <w:r>
              <w:rPr>
                <w:rStyle w:val="20"/>
                <w:rFonts w:hint="eastAsia" w:ascii="宋体" w:hAnsi="宋体" w:cs="宋体"/>
                <w:color w:val="0000FF"/>
                <w:szCs w:val="21"/>
              </w:rPr>
              <w:t>0%</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ascii="宋体" w:hAnsi="宋体" w:cs="宋体"/>
                <w:color w:val="0000FF"/>
                <w:szCs w:val="21"/>
              </w:rPr>
              <w:t>3</w:t>
            </w:r>
            <w:r>
              <w:rPr>
                <w:rStyle w:val="20"/>
                <w:rFonts w:hint="eastAsia" w:ascii="宋体" w:hAnsi="宋体" w:cs="宋体"/>
                <w:color w:val="0000FF"/>
                <w:szCs w:val="21"/>
              </w:rPr>
              <w:t>0分</w:t>
            </w:r>
          </w:p>
        </w:tc>
        <w:tc>
          <w:tcPr>
            <w:tcW w:w="637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ind w:left="270" w:leftChars="62" w:right="145" w:rightChars="69" w:hanging="140" w:hangingChars="67"/>
              <w:textAlignment w:val="baseline"/>
              <w:rPr>
                <w:rStyle w:val="20"/>
                <w:rFonts w:hint="eastAsia" w:ascii="宋体" w:hAnsi="宋体" w:cs="宋体"/>
                <w:color w:val="0000FF"/>
                <w:szCs w:val="21"/>
                <w:lang w:val="en-US" w:eastAsia="zh-CN"/>
              </w:rPr>
            </w:pPr>
            <w:r>
              <w:rPr>
                <w:rStyle w:val="20"/>
                <w:rFonts w:hint="eastAsia" w:ascii="宋体" w:hAnsi="宋体" w:cs="宋体"/>
                <w:color w:val="0000FF"/>
                <w:szCs w:val="21"/>
              </w:rPr>
              <w:t>标注▲产品技术参数要求完全满足招标文件要求且没有负偏离的得</w:t>
            </w:r>
            <w:r>
              <w:rPr>
                <w:rStyle w:val="20"/>
                <w:rFonts w:hint="eastAsia" w:ascii="宋体" w:hAnsi="宋体" w:cs="宋体"/>
                <w:color w:val="0000FF"/>
                <w:szCs w:val="21"/>
                <w:lang w:val="en-US" w:eastAsia="zh-CN"/>
              </w:rPr>
              <w:t>25</w:t>
            </w:r>
            <w:r>
              <w:rPr>
                <w:rStyle w:val="20"/>
                <w:rFonts w:hint="eastAsia" w:ascii="宋体" w:hAnsi="宋体" w:cs="宋体"/>
                <w:color w:val="0000FF"/>
                <w:szCs w:val="21"/>
              </w:rPr>
              <w:t>分，有负偏离的每项扣</w:t>
            </w:r>
            <w:r>
              <w:rPr>
                <w:rStyle w:val="20"/>
                <w:rFonts w:hint="eastAsia" w:ascii="宋体" w:hAnsi="宋体" w:cs="宋体"/>
                <w:color w:val="0000FF"/>
                <w:szCs w:val="21"/>
                <w:lang w:val="en-US" w:eastAsia="zh-CN"/>
              </w:rPr>
              <w:t>1.25</w:t>
            </w:r>
            <w:r>
              <w:rPr>
                <w:rStyle w:val="20"/>
                <w:rFonts w:hint="eastAsia" w:ascii="宋体" w:hAnsi="宋体" w:cs="宋体"/>
                <w:color w:val="0000FF"/>
                <w:szCs w:val="21"/>
              </w:rPr>
              <w:t>分，扣完为止。（共</w:t>
            </w:r>
            <w:r>
              <w:rPr>
                <w:rStyle w:val="20"/>
                <w:rFonts w:hint="eastAsia" w:ascii="宋体" w:hAnsi="宋体" w:cs="宋体"/>
                <w:color w:val="0000FF"/>
                <w:szCs w:val="21"/>
                <w:lang w:val="en-US" w:eastAsia="zh-CN"/>
              </w:rPr>
              <w:t>20</w:t>
            </w:r>
            <w:r>
              <w:rPr>
                <w:rStyle w:val="20"/>
                <w:rFonts w:hint="eastAsia" w:ascii="宋体" w:hAnsi="宋体" w:cs="宋体"/>
                <w:color w:val="0000FF"/>
                <w:szCs w:val="21"/>
              </w:rPr>
              <w:t>项）</w:t>
            </w:r>
            <w:r>
              <w:rPr>
                <w:rStyle w:val="20"/>
                <w:rFonts w:hint="eastAsia" w:ascii="宋体" w:hAnsi="宋体" w:cs="宋体"/>
                <w:color w:val="0000FF"/>
                <w:szCs w:val="21"/>
                <w:lang w:val="en-US" w:eastAsia="zh-CN"/>
              </w:rPr>
              <w:t>.</w:t>
            </w:r>
          </w:p>
          <w:p>
            <w:pPr>
              <w:numPr>
                <w:ilvl w:val="0"/>
                <w:numId w:val="1"/>
              </w:numPr>
              <w:ind w:left="270" w:leftChars="62" w:right="145" w:rightChars="69" w:hanging="140" w:hangingChars="67"/>
              <w:textAlignment w:val="baseline"/>
              <w:rPr>
                <w:rStyle w:val="20"/>
                <w:rFonts w:hint="eastAsia" w:ascii="宋体" w:hAnsi="宋体" w:cs="宋体"/>
                <w:color w:val="0000FF"/>
                <w:szCs w:val="21"/>
                <w:lang w:val="en-US" w:eastAsia="zh-CN"/>
              </w:rPr>
            </w:pPr>
            <w:r>
              <w:rPr>
                <w:rStyle w:val="20"/>
                <w:rFonts w:hint="eastAsia" w:ascii="宋体" w:hAnsi="宋体" w:cs="宋体"/>
                <w:color w:val="0000FF"/>
                <w:szCs w:val="21"/>
                <w:lang w:val="en-US" w:eastAsia="zh-CN"/>
              </w:rPr>
              <w:t>未标注</w:t>
            </w:r>
            <w:r>
              <w:rPr>
                <w:rStyle w:val="20"/>
                <w:rFonts w:hint="eastAsia" w:ascii="宋体" w:hAnsi="宋体" w:cs="宋体"/>
                <w:color w:val="0000FF"/>
                <w:szCs w:val="21"/>
              </w:rPr>
              <w:t>▲产品技术参数要求完全满足招标文件要求且没有负偏离的得</w:t>
            </w:r>
            <w:r>
              <w:rPr>
                <w:rStyle w:val="20"/>
                <w:rFonts w:hint="eastAsia" w:ascii="宋体" w:hAnsi="宋体" w:cs="宋体"/>
                <w:color w:val="0000FF"/>
                <w:szCs w:val="21"/>
                <w:lang w:val="en-US" w:eastAsia="zh-CN"/>
              </w:rPr>
              <w:t>5</w:t>
            </w:r>
            <w:r>
              <w:rPr>
                <w:rStyle w:val="20"/>
                <w:rFonts w:hint="eastAsia" w:ascii="宋体" w:hAnsi="宋体" w:cs="宋体"/>
                <w:color w:val="0000FF"/>
                <w:szCs w:val="21"/>
              </w:rPr>
              <w:t>分，有负偏离的每项扣</w:t>
            </w:r>
            <w:r>
              <w:rPr>
                <w:rStyle w:val="20"/>
                <w:rFonts w:hint="eastAsia" w:ascii="宋体" w:hAnsi="宋体" w:cs="宋体"/>
                <w:color w:val="0000FF"/>
                <w:szCs w:val="21"/>
                <w:lang w:val="en-US" w:eastAsia="zh-CN"/>
              </w:rPr>
              <w:t>0.1</w:t>
            </w:r>
            <w:r>
              <w:rPr>
                <w:rStyle w:val="20"/>
                <w:rFonts w:hint="eastAsia" w:ascii="宋体" w:hAnsi="宋体" w:cs="宋体"/>
                <w:color w:val="0000FF"/>
                <w:szCs w:val="21"/>
              </w:rPr>
              <w:t>分，扣完为止。（共</w:t>
            </w:r>
            <w:r>
              <w:rPr>
                <w:rStyle w:val="20"/>
                <w:rFonts w:hint="eastAsia" w:ascii="宋体" w:hAnsi="宋体" w:cs="宋体"/>
                <w:color w:val="0000FF"/>
                <w:szCs w:val="21"/>
                <w:lang w:val="en-US" w:eastAsia="zh-CN"/>
              </w:rPr>
              <w:t>50</w:t>
            </w:r>
            <w:r>
              <w:rPr>
                <w:rStyle w:val="20"/>
                <w:rFonts w:hint="eastAsia" w:ascii="宋体" w:hAnsi="宋体" w:cs="宋体"/>
                <w:color w:val="0000FF"/>
                <w:szCs w:val="21"/>
              </w:rPr>
              <w:t>项）</w:t>
            </w:r>
            <w:r>
              <w:rPr>
                <w:rStyle w:val="20"/>
                <w:rFonts w:hint="eastAsia" w:ascii="宋体" w:hAnsi="宋体" w:cs="宋体"/>
                <w:color w:val="0000FF"/>
                <w:szCs w:val="21"/>
                <w:lang w:val="en-US" w:eastAsia="zh-CN"/>
              </w:rPr>
              <w:t>.</w:t>
            </w:r>
          </w:p>
          <w:p>
            <w:pPr>
              <w:ind w:left="270" w:leftChars="62" w:right="145" w:rightChars="69" w:hanging="140" w:hangingChars="67"/>
              <w:textAlignment w:val="baseline"/>
              <w:rPr>
                <w:rStyle w:val="20"/>
                <w:rFonts w:ascii="宋体" w:hAnsi="宋体" w:cs="宋体"/>
                <w:color w:val="0000FF"/>
                <w:szCs w:val="21"/>
              </w:rPr>
            </w:pPr>
            <w:r>
              <w:rPr>
                <w:rStyle w:val="20"/>
                <w:rFonts w:hint="eastAsia" w:ascii="宋体" w:hAnsi="宋体" w:cs="宋体"/>
                <w:color w:val="0000FF"/>
                <w:szCs w:val="21"/>
              </w:rPr>
              <w:t>说明：带“▲”项须提供</w:t>
            </w:r>
            <w:r>
              <w:rPr>
                <w:rFonts w:hint="eastAsia"/>
                <w:color w:val="0000FF"/>
              </w:rPr>
              <w:t>供应商或生产厂家</w:t>
            </w:r>
            <w:r>
              <w:rPr>
                <w:rFonts w:hint="eastAsia"/>
                <w:color w:val="0000FF"/>
                <w:lang w:val="en-US" w:eastAsia="zh-CN"/>
              </w:rPr>
              <w:t>2019年以来</w:t>
            </w:r>
            <w:r>
              <w:rPr>
                <w:rStyle w:val="20"/>
                <w:rFonts w:hint="eastAsia" w:ascii="宋体" w:hAnsi="宋体" w:cs="宋体"/>
                <w:color w:val="0000FF"/>
                <w:szCs w:val="21"/>
              </w:rPr>
              <w:t>获得国家认可的第三方检测机构出具的</w:t>
            </w:r>
            <w:r>
              <w:rPr>
                <w:rFonts w:hint="eastAsia" w:ascii="宋体" w:hAnsi="宋体" w:eastAsia="宋体" w:cs="宋体"/>
                <w:color w:val="0000FF"/>
                <w:kern w:val="0"/>
                <w:sz w:val="20"/>
                <w:szCs w:val="20"/>
                <w:lang w:bidi="ar"/>
              </w:rPr>
              <w:t>带CMA(或CNAS)标识及二维码的检验检测报告扫描件，</w:t>
            </w:r>
            <w:r>
              <w:rPr>
                <w:rStyle w:val="20"/>
                <w:rFonts w:hint="eastAsia" w:ascii="宋体" w:hAnsi="宋体" w:cs="宋体"/>
                <w:color w:val="0000FF"/>
                <w:szCs w:val="21"/>
              </w:rPr>
              <w:t>否则不给分（在技术参数中如有同样的技术参数出现，将不进行其重复扣分，技术参数仅作评分使用，不作资格审查）。</w:t>
            </w:r>
          </w:p>
        </w:tc>
        <w:tc>
          <w:tcPr>
            <w:tcW w:w="1369" w:type="dxa"/>
            <w:tcBorders>
              <w:top w:val="single" w:color="000000" w:sz="4" w:space="0"/>
              <w:left w:val="single" w:color="000000" w:sz="4" w:space="0"/>
              <w:bottom w:val="single" w:color="000000" w:sz="4" w:space="0"/>
              <w:right w:val="single" w:color="000000" w:sz="4" w:space="0"/>
            </w:tcBorders>
          </w:tcPr>
          <w:p>
            <w:pPr>
              <w:textAlignment w:val="baseline"/>
              <w:rPr>
                <w:rStyle w:val="20"/>
                <w:rFonts w:ascii="宋体" w:hAnsi="宋体" w:cs="宋体"/>
                <w:color w:val="0000FF"/>
                <w:szCs w:val="21"/>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rPr>
              <w:t>3</w:t>
            </w:r>
          </w:p>
        </w:tc>
        <w:tc>
          <w:tcPr>
            <w:tcW w:w="10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Fonts w:hint="eastAsia" w:ascii="宋体" w:hAnsi="宋体" w:cs="宋体"/>
                <w:color w:val="0000FF"/>
                <w:szCs w:val="21"/>
              </w:rPr>
              <w:t>供应商综合实力</w:t>
            </w:r>
            <w:r>
              <w:rPr>
                <w:rStyle w:val="20"/>
                <w:rFonts w:hint="eastAsia" w:ascii="宋体" w:hAnsi="宋体" w:cs="宋体"/>
                <w:color w:val="0000FF"/>
                <w:szCs w:val="21"/>
              </w:rPr>
              <w:t>12%</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rPr>
              <w:t>12分</w:t>
            </w:r>
          </w:p>
        </w:tc>
        <w:tc>
          <w:tcPr>
            <w:tcW w:w="6374" w:type="dxa"/>
            <w:tcBorders>
              <w:top w:val="single" w:color="000000" w:sz="4" w:space="0"/>
              <w:left w:val="single" w:color="000000" w:sz="4" w:space="0"/>
              <w:bottom w:val="single" w:color="000000" w:sz="4" w:space="0"/>
              <w:right w:val="single" w:color="000000" w:sz="4" w:space="0"/>
            </w:tcBorders>
            <w:vAlign w:val="center"/>
          </w:tcPr>
          <w:p>
            <w:pPr>
              <w:ind w:left="270" w:leftChars="62" w:right="145" w:rightChars="69" w:hanging="140" w:hangingChars="67"/>
              <w:rPr>
                <w:rFonts w:ascii="宋体" w:hAnsi="宋体" w:cs="宋体"/>
                <w:color w:val="0000FF"/>
                <w:szCs w:val="21"/>
              </w:rPr>
            </w:pPr>
            <w:r>
              <w:rPr>
                <w:rFonts w:hint="eastAsia" w:ascii="宋体" w:hAnsi="宋体" w:cs="宋体"/>
                <w:color w:val="0000FF"/>
                <w:szCs w:val="21"/>
                <w:lang w:val="zh-CN"/>
              </w:rPr>
              <w:t>1.</w:t>
            </w:r>
            <w:r>
              <w:rPr>
                <w:rStyle w:val="20"/>
                <w:rFonts w:hint="eastAsia" w:ascii="宋体" w:hAnsi="宋体" w:cs="宋体"/>
                <w:color w:val="0000FF"/>
                <w:szCs w:val="21"/>
              </w:rPr>
              <w:t xml:space="preserve"> </w:t>
            </w:r>
            <w:r>
              <w:rPr>
                <w:rFonts w:hint="eastAsia"/>
                <w:color w:val="0000FF"/>
                <w:lang w:val="en-US" w:eastAsia="zh-CN"/>
              </w:rPr>
              <w:t>投标人</w:t>
            </w:r>
            <w:r>
              <w:rPr>
                <w:rFonts w:hint="eastAsia"/>
                <w:color w:val="0000FF"/>
              </w:rPr>
              <w:t>或生产厂家</w:t>
            </w:r>
            <w:r>
              <w:rPr>
                <w:rFonts w:hint="eastAsia" w:ascii="宋体" w:hAnsi="宋体" w:cs="宋体"/>
                <w:color w:val="0000FF"/>
                <w:szCs w:val="21"/>
              </w:rPr>
              <w:t>具有ISO14001、ISO9001、ISO45001体系认证证书，每有一份证书的得</w:t>
            </w:r>
            <w:r>
              <w:rPr>
                <w:rFonts w:hint="eastAsia" w:ascii="宋体" w:hAnsi="宋体" w:cs="宋体"/>
                <w:color w:val="0000FF"/>
                <w:szCs w:val="21"/>
                <w:lang w:val="en-US" w:eastAsia="zh-CN"/>
              </w:rPr>
              <w:t>1</w:t>
            </w:r>
            <w:r>
              <w:rPr>
                <w:rFonts w:hint="eastAsia" w:ascii="宋体" w:hAnsi="宋体" w:cs="宋体"/>
                <w:color w:val="0000FF"/>
                <w:szCs w:val="21"/>
              </w:rPr>
              <w:t>分，最多得</w:t>
            </w:r>
            <w:r>
              <w:rPr>
                <w:rFonts w:hint="eastAsia" w:ascii="宋体" w:hAnsi="宋体" w:cs="宋体"/>
                <w:color w:val="0000FF"/>
                <w:szCs w:val="21"/>
                <w:lang w:val="en-US" w:eastAsia="zh-CN"/>
              </w:rPr>
              <w:t>3</w:t>
            </w:r>
            <w:r>
              <w:rPr>
                <w:rFonts w:hint="eastAsia" w:ascii="宋体" w:hAnsi="宋体" w:cs="宋体"/>
                <w:color w:val="0000FF"/>
                <w:szCs w:val="21"/>
              </w:rPr>
              <w:t>分，（投标文件中提供</w:t>
            </w:r>
            <w:r>
              <w:rPr>
                <w:rFonts w:hint="eastAsia" w:ascii="宋体" w:hAnsi="宋体" w:cs="宋体"/>
                <w:color w:val="0000FF"/>
                <w:szCs w:val="21"/>
                <w:lang w:val="en-US" w:eastAsia="zh-CN"/>
              </w:rPr>
              <w:t>该认证有效期内的</w:t>
            </w:r>
            <w:r>
              <w:rPr>
                <w:rFonts w:hint="eastAsia" w:ascii="宋体" w:hAnsi="宋体" w:cs="宋体"/>
                <w:color w:val="0000FF"/>
                <w:szCs w:val="21"/>
              </w:rPr>
              <w:t>全国认证认可信息公共服务平台的查询截图</w:t>
            </w:r>
            <w:r>
              <w:rPr>
                <w:rFonts w:hint="eastAsia" w:ascii="宋体" w:hAnsi="宋体" w:cs="宋体"/>
                <w:color w:val="0000FF"/>
                <w:szCs w:val="21"/>
                <w:lang w:eastAsia="zh-CN"/>
              </w:rPr>
              <w:t>、</w:t>
            </w:r>
            <w:r>
              <w:rPr>
                <w:rFonts w:hint="eastAsia" w:ascii="宋体" w:hAnsi="宋体" w:cs="宋体"/>
                <w:color w:val="0000FF"/>
                <w:szCs w:val="21"/>
                <w:lang w:val="en-US" w:eastAsia="zh-CN"/>
              </w:rPr>
              <w:t>否则不得分</w:t>
            </w:r>
            <w:r>
              <w:rPr>
                <w:rFonts w:hint="eastAsia" w:ascii="宋体" w:hAnsi="宋体" w:cs="宋体"/>
                <w:color w:val="0000FF"/>
                <w:szCs w:val="21"/>
              </w:rPr>
              <w:t>）</w:t>
            </w:r>
          </w:p>
          <w:p>
            <w:pPr>
              <w:ind w:left="270" w:leftChars="62" w:right="145" w:rightChars="69" w:hanging="140" w:hangingChars="67"/>
              <w:textAlignment w:val="baseline"/>
              <w:rPr>
                <w:rFonts w:hint="eastAsia" w:ascii="宋体" w:hAnsi="宋体" w:cs="宋体" w:eastAsiaTheme="minorEastAsia"/>
                <w:color w:val="0000FF"/>
                <w:szCs w:val="21"/>
                <w:lang w:eastAsia="zh-CN"/>
              </w:rPr>
            </w:pPr>
            <w:r>
              <w:rPr>
                <w:rFonts w:hint="eastAsia" w:ascii="宋体" w:hAnsi="宋体" w:cs="宋体"/>
                <w:color w:val="0000FF"/>
                <w:szCs w:val="21"/>
                <w:lang w:val="zh-CN"/>
              </w:rPr>
              <w:t>2.</w:t>
            </w:r>
            <w:r>
              <w:rPr>
                <w:rFonts w:hint="eastAsia" w:ascii="宋体" w:hAnsi="宋体" w:eastAsia="宋体" w:cs="宋体"/>
                <w:b w:val="0"/>
                <w:bCs/>
                <w:color w:val="3333FF"/>
                <w:kern w:val="0"/>
                <w:sz w:val="21"/>
                <w:szCs w:val="21"/>
                <w:lang w:val="en-US" w:eastAsia="zh-CN" w:bidi="ar-SA"/>
              </w:rPr>
              <w:t xml:space="preserve"> 投标人或者生产厂家具有品质验证证书证书且认证范围包括不仅限于（办公、定制、教学家具）的研发设计、生产、销售、技术支持、回访巡查、售后服务。全部符合的得3分。</w:t>
            </w:r>
            <w:r>
              <w:rPr>
                <w:rFonts w:hint="eastAsia" w:ascii="宋体" w:hAnsi="宋体" w:cs="宋体"/>
                <w:color w:val="0000FF"/>
                <w:szCs w:val="21"/>
              </w:rPr>
              <w:t>（投标文件中提供</w:t>
            </w:r>
            <w:r>
              <w:rPr>
                <w:rFonts w:hint="eastAsia" w:ascii="宋体" w:hAnsi="宋体" w:cs="宋体"/>
                <w:color w:val="0000FF"/>
                <w:szCs w:val="21"/>
                <w:lang w:val="en-US" w:eastAsia="zh-CN"/>
              </w:rPr>
              <w:t>该认证有效期内的</w:t>
            </w:r>
            <w:r>
              <w:rPr>
                <w:rFonts w:hint="eastAsia" w:ascii="宋体" w:hAnsi="宋体" w:cs="宋体"/>
                <w:color w:val="0000FF"/>
                <w:szCs w:val="21"/>
              </w:rPr>
              <w:t>全国认证认可信息公共服务平台的查询截图</w:t>
            </w:r>
            <w:r>
              <w:rPr>
                <w:rFonts w:hint="eastAsia" w:ascii="宋体" w:hAnsi="宋体" w:cs="宋体"/>
                <w:color w:val="0000FF"/>
                <w:szCs w:val="21"/>
                <w:lang w:eastAsia="zh-CN"/>
              </w:rPr>
              <w:t>、</w:t>
            </w:r>
            <w:r>
              <w:rPr>
                <w:rFonts w:hint="eastAsia" w:ascii="宋体" w:hAnsi="宋体" w:cs="宋体"/>
                <w:color w:val="0000FF"/>
                <w:szCs w:val="21"/>
                <w:lang w:val="en-US" w:eastAsia="zh-CN"/>
              </w:rPr>
              <w:t>否则不得分</w:t>
            </w:r>
            <w:r>
              <w:rPr>
                <w:rFonts w:hint="eastAsia" w:ascii="宋体" w:hAnsi="宋体" w:cs="宋体"/>
                <w:color w:val="0000FF"/>
                <w:szCs w:val="21"/>
              </w:rPr>
              <w:t>）</w:t>
            </w:r>
            <w:r>
              <w:rPr>
                <w:rFonts w:hint="eastAsia" w:ascii="宋体" w:hAnsi="宋体" w:cs="宋体"/>
                <w:color w:val="0000FF"/>
                <w:szCs w:val="21"/>
                <w:lang w:eastAsia="zh-CN"/>
              </w:rPr>
              <w:t>。</w:t>
            </w:r>
          </w:p>
          <w:p>
            <w:pPr>
              <w:ind w:left="270" w:leftChars="62" w:right="145" w:rightChars="69" w:hanging="140" w:hangingChars="67"/>
              <w:textAlignment w:val="baseline"/>
              <w:rPr>
                <w:rFonts w:hint="eastAsia" w:ascii="宋体" w:hAnsi="宋体" w:eastAsia="宋体" w:cs="宋体"/>
                <w:b w:val="0"/>
                <w:bCs/>
                <w:color w:val="3333FF"/>
                <w:kern w:val="0"/>
                <w:sz w:val="21"/>
                <w:szCs w:val="21"/>
                <w:lang w:val="en-US" w:eastAsia="zh-CN" w:bidi="ar-SA"/>
              </w:rPr>
            </w:pPr>
            <w:r>
              <w:rPr>
                <w:rFonts w:hint="eastAsia" w:ascii="宋体" w:hAnsi="宋体" w:eastAsia="宋体" w:cs="宋体"/>
                <w:b w:val="0"/>
                <w:bCs/>
                <w:color w:val="3333FF"/>
                <w:kern w:val="0"/>
                <w:sz w:val="21"/>
                <w:szCs w:val="21"/>
                <w:lang w:val="en-US" w:eastAsia="zh-CN" w:bidi="ar-SA"/>
              </w:rPr>
              <w:t>3. 投标人或者生产厂家具有售后服务体系完善程度认证证书认证证书，达到十星级的得3分，七星级的得2分，五星级及以下的得1分，未提供不得分。（投标文件中提供该认证有效期内的全国认证认可信息公共服务平台的查询截图、否则不得分）</w:t>
            </w:r>
          </w:p>
          <w:p>
            <w:pPr>
              <w:ind w:left="270" w:leftChars="62" w:right="145" w:rightChars="69" w:hanging="140" w:hangingChars="67"/>
              <w:textAlignment w:val="baseline"/>
              <w:rPr>
                <w:rFonts w:hint="eastAsia"/>
                <w:color w:val="000000" w:themeColor="text1"/>
                <w:sz w:val="18"/>
                <w:szCs w:val="18"/>
                <w14:textFill>
                  <w14:solidFill>
                    <w14:schemeClr w14:val="tx1"/>
                  </w14:solidFill>
                </w14:textFill>
              </w:rPr>
            </w:pPr>
            <w:r>
              <w:rPr>
                <w:rFonts w:hint="eastAsia" w:ascii="宋体" w:hAnsi="宋体" w:eastAsia="宋体" w:cs="宋体"/>
                <w:b w:val="0"/>
                <w:bCs/>
                <w:color w:val="3333FF"/>
                <w:kern w:val="0"/>
                <w:sz w:val="21"/>
                <w:szCs w:val="21"/>
                <w:lang w:val="en-US" w:eastAsia="zh-CN" w:bidi="ar-SA"/>
              </w:rPr>
              <w:t>4、投标人或产品制造商获得省级以上政府部门颁发的“绿色工厂”证书的得3分，未提供不得分。</w:t>
            </w:r>
          </w:p>
        </w:tc>
        <w:tc>
          <w:tcPr>
            <w:tcW w:w="1369"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cs="宋体"/>
                <w:color w:val="0000FF"/>
                <w:szCs w:val="21"/>
                <w:lang w:val="zh-CN"/>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1985"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cs="宋体"/>
                <w:color w:val="0000FF"/>
                <w:szCs w:val="21"/>
              </w:rPr>
            </w:pPr>
            <w:r>
              <w:rPr>
                <w:rFonts w:hint="eastAsia" w:ascii="宋体" w:hAnsi="宋体" w:cs="宋体"/>
                <w:color w:val="0000FF"/>
                <w:szCs w:val="21"/>
              </w:rPr>
              <w:t>4</w:t>
            </w:r>
          </w:p>
        </w:tc>
        <w:tc>
          <w:tcPr>
            <w:tcW w:w="10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FF"/>
                <w:szCs w:val="21"/>
              </w:rPr>
            </w:pPr>
            <w:r>
              <w:rPr>
                <w:rFonts w:hint="eastAsia" w:ascii="宋体" w:hAnsi="宋体" w:cs="宋体"/>
                <w:color w:val="0000FF"/>
                <w:szCs w:val="21"/>
              </w:rPr>
              <w:t>履约能力4%</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FF"/>
                <w:szCs w:val="21"/>
              </w:rPr>
            </w:pPr>
            <w:r>
              <w:rPr>
                <w:rFonts w:hint="eastAsia" w:ascii="宋体" w:hAnsi="宋体" w:cs="宋体"/>
                <w:color w:val="0000FF"/>
                <w:szCs w:val="21"/>
              </w:rPr>
              <w:t>4分</w:t>
            </w:r>
          </w:p>
        </w:tc>
        <w:tc>
          <w:tcPr>
            <w:tcW w:w="6374" w:type="dxa"/>
            <w:tcBorders>
              <w:top w:val="single" w:color="000000" w:sz="4" w:space="0"/>
              <w:left w:val="single" w:color="000000" w:sz="4" w:space="0"/>
              <w:bottom w:val="single" w:color="000000" w:sz="4" w:space="0"/>
              <w:right w:val="single" w:color="000000" w:sz="4" w:space="0"/>
            </w:tcBorders>
            <w:vAlign w:val="center"/>
          </w:tcPr>
          <w:p>
            <w:pPr>
              <w:spacing w:line="320" w:lineRule="exact"/>
              <w:ind w:left="270" w:leftChars="62" w:right="145" w:rightChars="69" w:hanging="140" w:hangingChars="67"/>
              <w:rPr>
                <w:rFonts w:hint="eastAsia" w:ascii="宋体" w:hAnsi="宋体" w:eastAsia="宋体" w:cs="宋体"/>
                <w:b w:val="0"/>
                <w:bCs/>
                <w:color w:val="3333FF"/>
                <w:kern w:val="0"/>
                <w:sz w:val="21"/>
                <w:szCs w:val="21"/>
                <w:lang w:val="en-US" w:eastAsia="zh-CN" w:bidi="ar-SA"/>
              </w:rPr>
            </w:pPr>
            <w:r>
              <w:rPr>
                <w:rFonts w:hint="eastAsia" w:ascii="宋体" w:hAnsi="宋体" w:cs="宋体"/>
                <w:color w:val="0000FF"/>
                <w:szCs w:val="21"/>
              </w:rPr>
              <w:t>1</w:t>
            </w:r>
            <w:r>
              <w:rPr>
                <w:rFonts w:hint="eastAsia" w:ascii="宋体" w:hAnsi="宋体" w:eastAsia="宋体" w:cs="宋体"/>
                <w:b w:val="0"/>
                <w:bCs/>
                <w:color w:val="3333FF"/>
                <w:kern w:val="0"/>
                <w:sz w:val="21"/>
                <w:szCs w:val="21"/>
                <w:lang w:val="en-US" w:eastAsia="zh-CN" w:bidi="ar-SA"/>
              </w:rPr>
              <w:t>、投标人或者生产厂家拟投入本项目加工设备：1、智能数控下料机、2、数控多轴榫槽机、3、数控双面木工刨床、4、全自动水性面漆喷涂生产线、5、智能柔性折弯中心，有一项设备的得0.4分，最高得2分。（提供现场设备图片及设备购置发票或租赁转款凭证复印件）</w:t>
            </w:r>
          </w:p>
          <w:p>
            <w:pPr>
              <w:spacing w:line="320" w:lineRule="exact"/>
              <w:ind w:left="270" w:leftChars="62" w:right="145" w:rightChars="69" w:hanging="140" w:hangingChars="67"/>
              <w:rPr>
                <w:rFonts w:hint="eastAsia" w:ascii="宋体" w:hAnsi="宋体" w:cs="宋体"/>
                <w:color w:val="0000FF"/>
                <w:szCs w:val="21"/>
              </w:rPr>
            </w:pPr>
            <w:r>
              <w:rPr>
                <w:rFonts w:hint="eastAsia" w:ascii="宋体" w:hAnsi="宋体" w:eastAsia="宋体" w:cs="宋体"/>
                <w:b w:val="0"/>
                <w:bCs/>
                <w:color w:val="3333FF"/>
                <w:kern w:val="0"/>
                <w:sz w:val="21"/>
                <w:szCs w:val="21"/>
                <w:lang w:val="en-US" w:eastAsia="zh-CN" w:bidi="ar-SA"/>
              </w:rPr>
              <w:t>2、投标人提供2019年1月1日至今每有1个类似项目履约经验的得0.5分，最多得2分。（提供合同复印件并加盖投标人单位公章）</w:t>
            </w:r>
          </w:p>
        </w:tc>
        <w:tc>
          <w:tcPr>
            <w:tcW w:w="1369" w:type="dxa"/>
            <w:tcBorders>
              <w:top w:val="single" w:color="000000" w:sz="4" w:space="0"/>
              <w:left w:val="single" w:color="000000" w:sz="4" w:space="0"/>
              <w:bottom w:val="single" w:color="000000" w:sz="4" w:space="0"/>
              <w:right w:val="single" w:color="000000" w:sz="4" w:space="0"/>
            </w:tcBorders>
            <w:vAlign w:val="center"/>
          </w:tcPr>
          <w:p>
            <w:pPr>
              <w:textAlignment w:val="baseline"/>
              <w:rPr>
                <w:rFonts w:ascii="宋体" w:hAnsi="宋体" w:cs="宋体"/>
                <w:color w:val="0000FF"/>
                <w:szCs w:val="21"/>
                <w:lang w:val="zh-CN"/>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1128"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rPr>
              <w:t>5</w:t>
            </w:r>
          </w:p>
        </w:tc>
        <w:tc>
          <w:tcPr>
            <w:tcW w:w="10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Fonts w:hint="eastAsia" w:ascii="宋体" w:hAnsi="宋体" w:cs="宋体"/>
                <w:color w:val="0000FF"/>
                <w:kern w:val="0"/>
                <w:szCs w:val="21"/>
              </w:rPr>
              <w:t>项目实施方案</w:t>
            </w:r>
            <w:r>
              <w:rPr>
                <w:rFonts w:hint="eastAsia" w:ascii="宋体" w:hAnsi="宋体" w:cs="宋体"/>
                <w:color w:val="0000FF"/>
                <w:kern w:val="0"/>
                <w:szCs w:val="21"/>
                <w:lang w:val="en-US" w:eastAsia="zh-CN"/>
              </w:rPr>
              <w:t>8</w:t>
            </w:r>
            <w:r>
              <w:rPr>
                <w:rFonts w:hint="eastAsia" w:ascii="宋体" w:hAnsi="宋体" w:cs="宋体"/>
                <w:color w:val="0000FF"/>
                <w:kern w:val="0"/>
                <w:szCs w:val="21"/>
              </w:rPr>
              <w:t>%</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0"/>
                <w:rFonts w:ascii="宋体" w:hAnsi="宋体" w:cs="宋体"/>
                <w:color w:val="0000FF"/>
                <w:szCs w:val="21"/>
              </w:rPr>
            </w:pPr>
            <w:r>
              <w:rPr>
                <w:rStyle w:val="20"/>
                <w:rFonts w:hint="eastAsia" w:ascii="宋体" w:hAnsi="宋体" w:cs="宋体"/>
                <w:color w:val="0000FF"/>
                <w:szCs w:val="21"/>
                <w:lang w:val="en-US" w:eastAsia="zh-CN"/>
              </w:rPr>
              <w:t>8</w:t>
            </w:r>
            <w:r>
              <w:rPr>
                <w:rStyle w:val="20"/>
                <w:rFonts w:hint="eastAsia" w:ascii="宋体" w:hAnsi="宋体" w:cs="宋体"/>
                <w:color w:val="0000FF"/>
                <w:szCs w:val="21"/>
              </w:rPr>
              <w:t>分</w:t>
            </w:r>
          </w:p>
        </w:tc>
        <w:tc>
          <w:tcPr>
            <w:tcW w:w="6374" w:type="dxa"/>
            <w:tcBorders>
              <w:top w:val="single" w:color="000000" w:sz="4" w:space="0"/>
              <w:left w:val="single" w:color="000000" w:sz="4" w:space="0"/>
              <w:bottom w:val="single" w:color="000000" w:sz="4" w:space="0"/>
              <w:right w:val="single" w:color="000000" w:sz="4" w:space="0"/>
            </w:tcBorders>
            <w:vAlign w:val="center"/>
          </w:tcPr>
          <w:p>
            <w:pPr>
              <w:ind w:left="129" w:leftChars="61" w:right="145" w:rightChars="69" w:hanging="1"/>
              <w:textAlignment w:val="baseline"/>
              <w:rPr>
                <w:rFonts w:ascii="宋体" w:hAnsi="宋体" w:cs="宋体"/>
                <w:color w:val="0000FF"/>
                <w:kern w:val="0"/>
                <w:szCs w:val="21"/>
              </w:rPr>
            </w:pPr>
            <w:r>
              <w:rPr>
                <w:rFonts w:hint="eastAsia" w:ascii="宋体" w:hAnsi="宋体" w:cs="宋体"/>
                <w:color w:val="0000FF"/>
                <w:kern w:val="0"/>
                <w:szCs w:val="21"/>
              </w:rPr>
              <w:t>1、依</w:t>
            </w:r>
            <w:r>
              <w:rPr>
                <w:rFonts w:hint="eastAsia" w:ascii="宋体" w:hAnsi="宋体" w:eastAsia="宋体" w:cs="宋体"/>
                <w:b w:val="0"/>
                <w:bCs/>
                <w:color w:val="3333FF"/>
                <w:kern w:val="0"/>
                <w:sz w:val="21"/>
                <w:szCs w:val="21"/>
                <w:lang w:val="en-US" w:eastAsia="zh-CN" w:bidi="ar-SA"/>
              </w:rPr>
              <w:t>据投标人或者生产厂家针对本项目提供的实施方案进行综合评审，包括①工程进度计划与保</w:t>
            </w:r>
            <w:r>
              <w:rPr>
                <w:rFonts w:hint="eastAsia" w:ascii="宋体" w:hAnsi="宋体" w:cs="宋体"/>
                <w:color w:val="0000FF"/>
                <w:kern w:val="0"/>
                <w:szCs w:val="21"/>
              </w:rPr>
              <w:t>障措施②质量保障措施③应急预案④安全文明施工措施，</w:t>
            </w:r>
            <w:r>
              <w:rPr>
                <w:rStyle w:val="20"/>
                <w:rFonts w:hint="eastAsia" w:ascii="宋体" w:hAnsi="宋体" w:cs="宋体"/>
                <w:color w:val="0000FF"/>
                <w:szCs w:val="21"/>
              </w:rPr>
              <w:t>优的得</w:t>
            </w:r>
            <w:r>
              <w:rPr>
                <w:rStyle w:val="20"/>
                <w:rFonts w:hint="eastAsia" w:ascii="宋体" w:hAnsi="宋体" w:cs="宋体"/>
                <w:color w:val="0000FF"/>
                <w:szCs w:val="21"/>
                <w:lang w:val="en-US" w:eastAsia="zh-CN"/>
              </w:rPr>
              <w:t>6-8</w:t>
            </w:r>
            <w:r>
              <w:rPr>
                <w:rStyle w:val="20"/>
                <w:rFonts w:hint="eastAsia" w:ascii="宋体" w:hAnsi="宋体" w:cs="宋体"/>
                <w:color w:val="0000FF"/>
                <w:szCs w:val="21"/>
              </w:rPr>
              <w:t>分；一般的得</w:t>
            </w:r>
            <w:r>
              <w:rPr>
                <w:rStyle w:val="20"/>
                <w:rFonts w:hint="eastAsia" w:ascii="宋体" w:hAnsi="宋体" w:cs="宋体"/>
                <w:color w:val="0000FF"/>
                <w:szCs w:val="21"/>
                <w:lang w:val="en-US" w:eastAsia="zh-CN"/>
              </w:rPr>
              <w:t>3-5</w:t>
            </w:r>
            <w:r>
              <w:rPr>
                <w:rStyle w:val="20"/>
                <w:rFonts w:hint="eastAsia" w:ascii="宋体" w:hAnsi="宋体" w:cs="宋体"/>
                <w:color w:val="0000FF"/>
                <w:szCs w:val="21"/>
              </w:rPr>
              <w:t>分；差的得1</w:t>
            </w:r>
            <w:r>
              <w:rPr>
                <w:rStyle w:val="20"/>
                <w:rFonts w:hint="eastAsia" w:ascii="宋体" w:hAnsi="宋体" w:cs="宋体"/>
                <w:color w:val="0000FF"/>
                <w:szCs w:val="21"/>
                <w:lang w:val="en-US" w:eastAsia="zh-CN"/>
              </w:rPr>
              <w:t>-2</w:t>
            </w:r>
            <w:r>
              <w:rPr>
                <w:rStyle w:val="20"/>
                <w:rFonts w:hint="eastAsia" w:ascii="宋体" w:hAnsi="宋体" w:cs="宋体"/>
                <w:color w:val="0000FF"/>
                <w:szCs w:val="21"/>
              </w:rPr>
              <w:t>分。</w:t>
            </w:r>
          </w:p>
        </w:tc>
        <w:tc>
          <w:tcPr>
            <w:tcW w:w="1369"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cs="宋体"/>
                <w:color w:val="0000FF"/>
                <w:szCs w:val="21"/>
                <w:lang w:val="zh-CN"/>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cs="宋体"/>
                <w:color w:val="0000FF"/>
                <w:szCs w:val="21"/>
              </w:rPr>
            </w:pPr>
            <w:r>
              <w:rPr>
                <w:rFonts w:hint="eastAsia" w:ascii="宋体" w:hAnsi="宋体" w:cs="宋体"/>
                <w:color w:val="0000FF"/>
                <w:szCs w:val="21"/>
              </w:rPr>
              <w:t>6</w:t>
            </w:r>
          </w:p>
        </w:tc>
        <w:tc>
          <w:tcPr>
            <w:tcW w:w="1052" w:type="dxa"/>
            <w:tcBorders>
              <w:top w:val="single" w:color="000000" w:sz="4" w:space="0"/>
              <w:left w:val="single" w:color="000000" w:sz="4" w:space="0"/>
              <w:bottom w:val="single" w:color="000000" w:sz="4" w:space="0"/>
              <w:right w:val="single" w:color="000000" w:sz="4" w:space="0"/>
            </w:tcBorders>
            <w:vAlign w:val="center"/>
          </w:tcPr>
          <w:p>
            <w:pPr>
              <w:spacing w:line="320" w:lineRule="exact"/>
              <w:ind w:left="-107" w:leftChars="-51" w:right="17" w:rightChars="8" w:firstLine="105" w:firstLineChars="50"/>
              <w:jc w:val="center"/>
              <w:rPr>
                <w:rFonts w:ascii="宋体" w:hAnsi="宋体" w:cs="宋体"/>
                <w:color w:val="0000FF"/>
                <w:szCs w:val="21"/>
              </w:rPr>
            </w:pPr>
            <w:r>
              <w:rPr>
                <w:rFonts w:hint="eastAsia" w:ascii="宋体" w:hAnsi="宋体" w:cs="宋体"/>
                <w:color w:val="0000FF"/>
                <w:szCs w:val="21"/>
              </w:rPr>
              <w:t>售后服务</w:t>
            </w:r>
            <w:r>
              <w:rPr>
                <w:rFonts w:hint="eastAsia" w:ascii="宋体" w:hAnsi="宋体" w:cs="宋体"/>
                <w:color w:val="0000FF"/>
                <w:szCs w:val="21"/>
                <w:lang w:val="en-US" w:eastAsia="zh-CN"/>
              </w:rPr>
              <w:t>5</w:t>
            </w:r>
            <w:r>
              <w:rPr>
                <w:rStyle w:val="20"/>
                <w:rFonts w:hint="eastAsia" w:ascii="宋体" w:hAnsi="宋体" w:cs="宋体"/>
                <w:color w:val="0000FF"/>
                <w:szCs w:val="21"/>
              </w:rPr>
              <w:t>%</w:t>
            </w:r>
          </w:p>
        </w:tc>
        <w:tc>
          <w:tcPr>
            <w:tcW w:w="680" w:type="dxa"/>
            <w:tcBorders>
              <w:top w:val="single" w:color="000000" w:sz="4" w:space="0"/>
              <w:left w:val="single" w:color="000000" w:sz="4" w:space="0"/>
              <w:bottom w:val="single" w:color="000000" w:sz="4" w:space="0"/>
              <w:right w:val="single" w:color="000000" w:sz="4" w:space="0"/>
            </w:tcBorders>
            <w:vAlign w:val="center"/>
          </w:tcPr>
          <w:p>
            <w:pPr>
              <w:spacing w:line="320" w:lineRule="exact"/>
              <w:ind w:right="-15" w:rightChars="-7"/>
              <w:jc w:val="center"/>
              <w:rPr>
                <w:rFonts w:ascii="宋体" w:hAnsi="宋体" w:cs="宋体"/>
                <w:color w:val="0000FF"/>
                <w:szCs w:val="21"/>
              </w:rPr>
            </w:pPr>
            <w:r>
              <w:rPr>
                <w:rFonts w:hint="eastAsia" w:ascii="宋体" w:hAnsi="宋体" w:cs="宋体"/>
                <w:color w:val="0000FF"/>
                <w:szCs w:val="21"/>
                <w:lang w:val="en-US" w:eastAsia="zh-CN"/>
              </w:rPr>
              <w:t>5</w:t>
            </w:r>
            <w:r>
              <w:rPr>
                <w:rFonts w:hint="eastAsia" w:ascii="宋体" w:hAnsi="宋体" w:cs="宋体"/>
                <w:color w:val="0000FF"/>
                <w:szCs w:val="21"/>
              </w:rPr>
              <w:t>分</w:t>
            </w:r>
          </w:p>
        </w:tc>
        <w:tc>
          <w:tcPr>
            <w:tcW w:w="6374" w:type="dxa"/>
            <w:tcBorders>
              <w:top w:val="single" w:color="000000" w:sz="4" w:space="0"/>
              <w:left w:val="single" w:color="000000" w:sz="4" w:space="0"/>
              <w:bottom w:val="single" w:color="000000" w:sz="4" w:space="0"/>
              <w:right w:val="single" w:color="000000" w:sz="4" w:space="0"/>
            </w:tcBorders>
          </w:tcPr>
          <w:p>
            <w:pPr>
              <w:spacing w:line="320" w:lineRule="exact"/>
              <w:ind w:left="434" w:leftChars="62" w:hanging="304" w:hangingChars="145"/>
              <w:rPr>
                <w:rFonts w:ascii="宋体" w:hAnsi="宋体" w:cs="宋体"/>
                <w:color w:val="0000FF"/>
                <w:szCs w:val="21"/>
              </w:rPr>
            </w:pPr>
            <w:r>
              <w:rPr>
                <w:rFonts w:hint="eastAsia" w:ascii="宋体" w:hAnsi="宋体" w:cs="宋体"/>
                <w:color w:val="0000FF"/>
                <w:szCs w:val="21"/>
              </w:rPr>
              <w:t>1、满足基础质保期的得1分，在基础质保期上每增加1年加</w:t>
            </w:r>
            <w:r>
              <w:rPr>
                <w:rFonts w:ascii="宋体" w:hAnsi="宋体" w:cs="宋体"/>
                <w:color w:val="0000FF"/>
                <w:szCs w:val="21"/>
              </w:rPr>
              <w:t>0.5</w:t>
            </w:r>
            <w:r>
              <w:rPr>
                <w:rFonts w:hint="eastAsia" w:ascii="宋体" w:hAnsi="宋体" w:cs="宋体"/>
                <w:color w:val="0000FF"/>
                <w:szCs w:val="21"/>
              </w:rPr>
              <w:t>分，本项满分为</w:t>
            </w:r>
            <w:r>
              <w:rPr>
                <w:rFonts w:ascii="宋体" w:hAnsi="宋体" w:cs="宋体"/>
                <w:color w:val="0000FF"/>
                <w:szCs w:val="21"/>
              </w:rPr>
              <w:t>2</w:t>
            </w:r>
            <w:r>
              <w:rPr>
                <w:rFonts w:hint="eastAsia" w:ascii="宋体" w:hAnsi="宋体" w:cs="宋体"/>
                <w:color w:val="0000FF"/>
                <w:szCs w:val="21"/>
              </w:rPr>
              <w:t>分。</w:t>
            </w:r>
          </w:p>
          <w:p>
            <w:pPr>
              <w:spacing w:line="320" w:lineRule="exact"/>
              <w:ind w:left="434" w:leftChars="62" w:right="145" w:rightChars="69" w:hanging="304" w:hangingChars="145"/>
              <w:rPr>
                <w:rFonts w:ascii="宋体" w:hAnsi="宋体" w:cs="宋体"/>
                <w:color w:val="0000FF"/>
                <w:szCs w:val="21"/>
              </w:rPr>
            </w:pPr>
            <w:r>
              <w:rPr>
                <w:rFonts w:hint="eastAsia" w:ascii="宋体" w:hAnsi="宋体" w:cs="宋体"/>
                <w:color w:val="0000FF"/>
                <w:szCs w:val="21"/>
              </w:rPr>
              <w:t>2、提供详细的售后服务方案需包含：维修响应时间、售后服务实质性承诺及方案、质保期内的维修承诺、质保期外的维修承诺，共</w:t>
            </w:r>
            <w:r>
              <w:rPr>
                <w:rFonts w:ascii="宋体" w:hAnsi="宋体" w:cs="宋体"/>
                <w:color w:val="0000FF"/>
                <w:szCs w:val="21"/>
              </w:rPr>
              <w:t>2</w:t>
            </w:r>
            <w:r>
              <w:rPr>
                <w:rFonts w:hint="eastAsia" w:ascii="宋体" w:hAnsi="宋体" w:cs="宋体"/>
                <w:color w:val="0000FF"/>
                <w:szCs w:val="21"/>
              </w:rPr>
              <w:t>分。每缺少一项扣0</w:t>
            </w:r>
            <w:r>
              <w:rPr>
                <w:rFonts w:ascii="宋体" w:hAnsi="宋体" w:cs="宋体"/>
                <w:color w:val="0000FF"/>
                <w:szCs w:val="21"/>
              </w:rPr>
              <w:t>.5</w:t>
            </w:r>
            <w:r>
              <w:rPr>
                <w:rFonts w:hint="eastAsia" w:ascii="宋体" w:hAnsi="宋体" w:cs="宋体"/>
                <w:color w:val="0000FF"/>
                <w:szCs w:val="21"/>
              </w:rPr>
              <w:t>分，扣完为止。</w:t>
            </w:r>
          </w:p>
          <w:p>
            <w:pPr>
              <w:spacing w:line="320" w:lineRule="exact"/>
              <w:ind w:left="130" w:leftChars="62" w:right="145" w:rightChars="69"/>
              <w:rPr>
                <w:rFonts w:hint="eastAsia" w:ascii="宋体" w:hAnsi="宋体" w:cs="宋体" w:eastAsiaTheme="minorEastAsia"/>
                <w:color w:val="0000FF"/>
                <w:szCs w:val="21"/>
                <w:lang w:val="en-US" w:eastAsia="zh-CN"/>
              </w:rPr>
            </w:pPr>
            <w:r>
              <w:rPr>
                <w:rFonts w:hint="eastAsia" w:ascii="宋体" w:hAnsi="宋体" w:cs="宋体"/>
                <w:color w:val="0000FF"/>
                <w:szCs w:val="21"/>
              </w:rPr>
              <w:t>3、</w:t>
            </w:r>
            <w:r>
              <w:rPr>
                <w:rFonts w:hint="eastAsia" w:ascii="宋体" w:hAnsi="宋体" w:eastAsia="宋体" w:cs="宋体"/>
                <w:b w:val="0"/>
                <w:bCs/>
                <w:color w:val="3333FF"/>
                <w:kern w:val="0"/>
                <w:sz w:val="21"/>
                <w:szCs w:val="21"/>
                <w:lang w:val="en-US" w:eastAsia="zh-CN" w:bidi="ar-SA"/>
              </w:rPr>
              <w:t>投标人或者生产厂家获得符合GB/T27922-2011标准的商品售后服务评价体系认证证书</w:t>
            </w:r>
            <w:r>
              <w:rPr>
                <w:rFonts w:hint="eastAsia" w:ascii="宋体" w:hAnsi="宋体" w:cs="宋体"/>
                <w:color w:val="0000FF"/>
                <w:szCs w:val="21"/>
              </w:rPr>
              <w:t>得</w:t>
            </w:r>
            <w:r>
              <w:rPr>
                <w:rFonts w:hint="eastAsia" w:ascii="宋体" w:hAnsi="宋体" w:cs="宋体"/>
                <w:color w:val="0000FF"/>
                <w:szCs w:val="21"/>
                <w:lang w:val="en-US" w:eastAsia="zh-CN"/>
              </w:rPr>
              <w:t>1</w:t>
            </w:r>
            <w:r>
              <w:rPr>
                <w:rFonts w:hint="eastAsia" w:ascii="宋体" w:hAnsi="宋体" w:cs="宋体"/>
                <w:color w:val="0000FF"/>
                <w:szCs w:val="21"/>
              </w:rPr>
              <w:t>分。（投标文件中提供</w:t>
            </w:r>
            <w:r>
              <w:rPr>
                <w:rFonts w:hint="eastAsia" w:ascii="宋体" w:hAnsi="宋体" w:cs="宋体"/>
                <w:color w:val="0000FF"/>
                <w:szCs w:val="21"/>
                <w:lang w:val="en-US" w:eastAsia="zh-CN"/>
              </w:rPr>
              <w:t>该认证有效期内的</w:t>
            </w:r>
            <w:r>
              <w:rPr>
                <w:rFonts w:hint="eastAsia" w:ascii="宋体" w:hAnsi="宋体" w:cs="宋体"/>
                <w:color w:val="0000FF"/>
                <w:szCs w:val="21"/>
              </w:rPr>
              <w:t>全国认证认可信息公共服务平台的查询截图</w:t>
            </w:r>
            <w:r>
              <w:rPr>
                <w:rFonts w:hint="eastAsia" w:ascii="宋体" w:hAnsi="宋体" w:cs="宋体"/>
                <w:color w:val="0000FF"/>
                <w:szCs w:val="21"/>
                <w:lang w:eastAsia="zh-CN"/>
              </w:rPr>
              <w:t>、</w:t>
            </w:r>
            <w:r>
              <w:rPr>
                <w:rFonts w:hint="eastAsia" w:ascii="宋体" w:hAnsi="宋体" w:cs="宋体"/>
                <w:color w:val="0000FF"/>
                <w:szCs w:val="21"/>
                <w:lang w:val="en-US" w:eastAsia="zh-CN"/>
              </w:rPr>
              <w:t>否则不得分</w:t>
            </w:r>
            <w:r>
              <w:rPr>
                <w:rFonts w:hint="eastAsia" w:ascii="宋体" w:hAnsi="宋体" w:cs="宋体"/>
                <w:color w:val="0000FF"/>
                <w:szCs w:val="21"/>
              </w:rPr>
              <w:t>）</w:t>
            </w:r>
            <w:r>
              <w:rPr>
                <w:rFonts w:hint="eastAsia" w:ascii="宋体" w:hAnsi="宋体" w:cs="宋体"/>
                <w:color w:val="0000FF"/>
                <w:szCs w:val="21"/>
                <w:lang w:eastAsia="zh-CN"/>
              </w:rPr>
              <w:t>。</w:t>
            </w:r>
          </w:p>
        </w:tc>
        <w:tc>
          <w:tcPr>
            <w:tcW w:w="1369"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cs="宋体"/>
                <w:color w:val="0000FF"/>
                <w:szCs w:val="21"/>
                <w:lang w:val="zh-CN"/>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808"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center"/>
              <w:rPr>
                <w:rStyle w:val="20"/>
                <w:rFonts w:ascii="宋体" w:hAnsi="宋体" w:cs="宋体"/>
                <w:color w:val="0000FF"/>
                <w:szCs w:val="21"/>
              </w:rPr>
            </w:pPr>
            <w:r>
              <w:rPr>
                <w:rFonts w:ascii="宋体" w:hAnsi="宋体" w:cs="宋体"/>
                <w:color w:val="0000FF"/>
                <w:szCs w:val="21"/>
              </w:rPr>
              <w:t>7</w:t>
            </w:r>
          </w:p>
        </w:tc>
        <w:tc>
          <w:tcPr>
            <w:tcW w:w="1052" w:type="dxa"/>
            <w:tcBorders>
              <w:top w:val="single" w:color="auto"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color w:val="0000FF"/>
                <w:szCs w:val="21"/>
              </w:rPr>
            </w:pPr>
            <w:r>
              <w:rPr>
                <w:rFonts w:hint="eastAsia" w:ascii="宋体" w:hAnsi="宋体" w:cs="宋体"/>
                <w:color w:val="0000FF"/>
                <w:szCs w:val="21"/>
              </w:rPr>
              <w:t>节能环保要求1%</w:t>
            </w:r>
          </w:p>
        </w:tc>
        <w:tc>
          <w:tcPr>
            <w:tcW w:w="680" w:type="dxa"/>
            <w:tcBorders>
              <w:top w:val="single" w:color="auto"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color w:val="0000FF"/>
                <w:szCs w:val="21"/>
              </w:rPr>
            </w:pPr>
            <w:r>
              <w:rPr>
                <w:rFonts w:hint="eastAsia" w:ascii="宋体" w:hAnsi="宋体" w:cs="宋体"/>
                <w:color w:val="0000FF"/>
                <w:szCs w:val="21"/>
              </w:rPr>
              <w:t>1分</w:t>
            </w:r>
          </w:p>
        </w:tc>
        <w:tc>
          <w:tcPr>
            <w:tcW w:w="6374" w:type="dxa"/>
            <w:tcBorders>
              <w:top w:val="single" w:color="auto" w:sz="4" w:space="0"/>
              <w:left w:val="single" w:color="000000" w:sz="4" w:space="0"/>
              <w:bottom w:val="single" w:color="000000" w:sz="4" w:space="0"/>
              <w:right w:val="single" w:color="000000" w:sz="4" w:space="0"/>
            </w:tcBorders>
            <w:vAlign w:val="center"/>
          </w:tcPr>
          <w:p>
            <w:pPr>
              <w:spacing w:line="276" w:lineRule="auto"/>
              <w:ind w:left="314" w:leftChars="62" w:right="145" w:rightChars="69" w:hanging="184" w:hangingChars="88"/>
              <w:rPr>
                <w:rFonts w:ascii="宋体" w:hAnsi="宋体" w:cs="宋体"/>
                <w:color w:val="0000FF"/>
                <w:szCs w:val="21"/>
              </w:rPr>
            </w:pPr>
            <w:r>
              <w:rPr>
                <w:rFonts w:hint="eastAsia" w:ascii="宋体" w:hAnsi="宋体" w:cs="宋体"/>
                <w:color w:val="0000FF"/>
                <w:szCs w:val="21"/>
              </w:rPr>
              <w:t>1、投标产品中属于政府采购优先采购范围的，则每有一项为节能产品或者环境标志产品或者无线局域网产品的得0.5分，非节能、环境标志产品的、无线局域网产品的不得分。本项最多得1分。</w:t>
            </w:r>
          </w:p>
        </w:tc>
        <w:tc>
          <w:tcPr>
            <w:tcW w:w="1369" w:type="dxa"/>
            <w:tcBorders>
              <w:top w:val="single" w:color="auto" w:sz="4" w:space="0"/>
              <w:left w:val="single" w:color="000000" w:sz="4" w:space="0"/>
              <w:bottom w:val="single" w:color="000000" w:sz="4" w:space="0"/>
              <w:right w:val="single" w:color="000000" w:sz="4" w:space="0"/>
            </w:tcBorders>
          </w:tcPr>
          <w:p>
            <w:pPr>
              <w:ind w:left="-1" w:leftChars="-1" w:hanging="1"/>
              <w:textAlignment w:val="baseline"/>
              <w:rPr>
                <w:rFonts w:ascii="宋体" w:hAnsi="宋体" w:cs="宋体"/>
                <w:color w:val="0000FF"/>
                <w:kern w:val="0"/>
                <w:szCs w:val="21"/>
              </w:rPr>
            </w:pPr>
          </w:p>
        </w:tc>
      </w:tr>
    </w:tbl>
    <w:p>
      <w:pPr>
        <w:widowControl/>
        <w:shd w:val="clear" w:color="auto" w:fill="FFFFFF"/>
        <w:spacing w:line="480" w:lineRule="auto"/>
        <w:rPr>
          <w:rFonts w:ascii="宋体" w:hAnsi="宋体" w:eastAsia="宋体" w:cs="宋体"/>
          <w:color w:val="333333"/>
          <w:kern w:val="0"/>
          <w:sz w:val="24"/>
          <w:szCs w:val="24"/>
        </w:rPr>
      </w:pP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□最低</w:t>
      </w:r>
      <w:r>
        <w:rPr>
          <w:rFonts w:ascii="宋体" w:hAnsi="宋体" w:eastAsia="宋体" w:cs="宋体"/>
          <w:color w:val="333333"/>
          <w:kern w:val="0"/>
          <w:sz w:val="24"/>
          <w:szCs w:val="24"/>
        </w:rPr>
        <w:t>评标价法</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评审因素： </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扣除比例</w:t>
      </w:r>
      <w:r>
        <w:rPr>
          <w:rFonts w:ascii="宋体" w:hAnsi="宋体" w:eastAsia="宋体" w:cs="宋体"/>
          <w:color w:val="333333"/>
          <w:kern w:val="0"/>
          <w:sz w:val="24"/>
          <w:szCs w:val="24"/>
        </w:rPr>
        <w:t>%：</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评审标准：</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8、合同管理安排</w:t>
      </w:r>
    </w:p>
    <w:p>
      <w:pPr>
        <w:widowControl/>
        <w:shd w:val="clear" w:color="auto" w:fill="FFFFFF"/>
        <w:spacing w:line="480" w:lineRule="auto"/>
        <w:ind w:firstLine="840"/>
        <w:rPr>
          <w:rFonts w:ascii="宋体" w:hAnsi="宋体" w:eastAsia="宋体" w:cs="宋体"/>
          <w:color w:val="0A82E5"/>
          <w:kern w:val="0"/>
          <w:sz w:val="24"/>
          <w:szCs w:val="24"/>
          <w:shd w:val="clear" w:color="auto" w:fill="FFFF00"/>
        </w:rPr>
      </w:pPr>
      <w:r>
        <w:rPr>
          <w:rFonts w:hint="eastAsia" w:ascii="宋体" w:hAnsi="宋体" w:eastAsia="宋体" w:cs="宋体"/>
          <w:color w:val="FF0000"/>
          <w:kern w:val="0"/>
          <w:sz w:val="24"/>
          <w:szCs w:val="24"/>
        </w:rPr>
        <w:t>1）合同类型：</w:t>
      </w:r>
      <w:r>
        <w:rPr>
          <w:rFonts w:hint="eastAsia" w:ascii="宋体" w:hAnsi="宋体" w:eastAsia="宋体" w:cs="宋体"/>
          <w:color w:val="333333"/>
          <w:kern w:val="0"/>
          <w:sz w:val="24"/>
          <w:szCs w:val="24"/>
        </w:rPr>
        <w:t>买卖合同</w:t>
      </w:r>
      <w:r>
        <w:rPr>
          <w:rFonts w:hint="eastAsia" w:ascii="宋体" w:hAnsi="宋体" w:eastAsia="宋体" w:cs="宋体"/>
          <w:color w:val="0000FF"/>
          <w:kern w:val="0"/>
          <w:sz w:val="24"/>
          <w:szCs w:val="24"/>
        </w:rPr>
        <w:t>☑</w:t>
      </w:r>
      <w:r>
        <w:rPr>
          <w:rFonts w:hint="eastAsia" w:ascii="宋体" w:hAnsi="宋体" w:eastAsia="宋体" w:cs="宋体"/>
          <w:color w:val="333333"/>
          <w:kern w:val="0"/>
          <w:sz w:val="24"/>
          <w:szCs w:val="24"/>
        </w:rPr>
        <w:t xml:space="preserve">  租赁合同□  建设工程合同□  技术合同□  委托合同□  物业管理合同□  其他合同□</w:t>
      </w:r>
    </w:p>
    <w:p>
      <w:pPr>
        <w:widowControl/>
        <w:shd w:val="clear" w:color="auto" w:fill="FFFFFF"/>
        <w:spacing w:line="480" w:lineRule="auto"/>
        <w:ind w:firstLine="840"/>
        <w:rPr>
          <w:rFonts w:ascii="宋体" w:hAnsi="宋体" w:eastAsia="宋体" w:cs="宋体"/>
          <w:color w:val="0000FF"/>
          <w:kern w:val="0"/>
          <w:sz w:val="24"/>
          <w:szCs w:val="24"/>
        </w:rPr>
      </w:pPr>
      <w:r>
        <w:rPr>
          <w:rFonts w:ascii="宋体" w:hAnsi="宋体" w:eastAsia="宋体" w:cs="宋体"/>
          <w:color w:val="FF0000"/>
          <w:kern w:val="0"/>
          <w:sz w:val="24"/>
          <w:szCs w:val="24"/>
        </w:rPr>
        <w:t>2</w:t>
      </w:r>
      <w:r>
        <w:rPr>
          <w:rFonts w:hint="eastAsia" w:ascii="宋体" w:hAnsi="宋体" w:eastAsia="宋体" w:cs="宋体"/>
          <w:color w:val="FF0000"/>
          <w:kern w:val="0"/>
          <w:sz w:val="24"/>
          <w:szCs w:val="24"/>
        </w:rPr>
        <w:t>）合同履行期限：</w:t>
      </w:r>
      <w:r>
        <w:rPr>
          <w:rFonts w:hint="eastAsia" w:ascii="宋体" w:hAnsi="宋体" w:eastAsia="宋体" w:cs="宋体"/>
          <w:color w:val="0000FF"/>
          <w:kern w:val="0"/>
          <w:sz w:val="24"/>
          <w:szCs w:val="24"/>
        </w:rPr>
        <w:t>自合同签订之日起</w:t>
      </w:r>
      <w:r>
        <w:rPr>
          <w:color w:val="0000FF"/>
        </w:rPr>
        <w:t xml:space="preserve"> 30 </w:t>
      </w:r>
      <w:r>
        <w:rPr>
          <w:rFonts w:hint="eastAsia" w:ascii="宋体" w:hAnsi="宋体" w:eastAsia="宋体" w:cs="宋体"/>
          <w:color w:val="0000FF"/>
          <w:kern w:val="0"/>
          <w:sz w:val="24"/>
          <w:szCs w:val="24"/>
        </w:rPr>
        <w:t>日内</w:t>
      </w:r>
    </w:p>
    <w:p>
      <w:pPr>
        <w:widowControl/>
        <w:shd w:val="clear" w:color="auto" w:fill="FFFFFF"/>
        <w:spacing w:line="480" w:lineRule="auto"/>
        <w:ind w:firstLine="840"/>
        <w:rPr>
          <w:rFonts w:ascii="宋体" w:hAnsi="宋体" w:eastAsia="宋体" w:cs="宋体"/>
          <w:color w:val="FF0000"/>
          <w:kern w:val="0"/>
          <w:sz w:val="24"/>
          <w:szCs w:val="24"/>
        </w:rPr>
      </w:pPr>
      <w:r>
        <w:rPr>
          <w:rFonts w:ascii="宋体" w:hAnsi="宋体" w:eastAsia="宋体" w:cs="宋体"/>
          <w:color w:val="FF0000"/>
          <w:kern w:val="0"/>
          <w:sz w:val="24"/>
          <w:szCs w:val="24"/>
        </w:rPr>
        <w:t>3</w:t>
      </w:r>
      <w:r>
        <w:rPr>
          <w:rFonts w:hint="eastAsia" w:ascii="宋体" w:hAnsi="宋体" w:eastAsia="宋体" w:cs="宋体"/>
          <w:color w:val="FF0000"/>
          <w:kern w:val="0"/>
          <w:sz w:val="24"/>
          <w:szCs w:val="24"/>
        </w:rPr>
        <w:t>）合同履约地点：</w:t>
      </w:r>
      <w:r>
        <w:rPr>
          <w:rFonts w:hint="eastAsia" w:ascii="新宋体" w:hAnsi="新宋体" w:eastAsia="新宋体"/>
          <w:color w:val="0000FF"/>
          <w:sz w:val="24"/>
        </w:rPr>
        <w:t>西华大学校本部（成都市郫都区红光大道9999号）</w:t>
      </w:r>
    </w:p>
    <w:p>
      <w:pPr>
        <w:widowControl/>
        <w:shd w:val="clear" w:color="auto" w:fill="FFFFFF"/>
        <w:spacing w:line="480" w:lineRule="auto"/>
        <w:ind w:firstLine="840"/>
        <w:rPr>
          <w:rFonts w:ascii="宋体" w:hAnsi="宋体" w:eastAsia="宋体" w:cs="宋体"/>
          <w:color w:val="0A82E5"/>
          <w:kern w:val="0"/>
          <w:sz w:val="24"/>
          <w:szCs w:val="24"/>
          <w:shd w:val="clear" w:color="auto" w:fill="FFFF00"/>
        </w:rPr>
      </w:pPr>
      <w:r>
        <w:rPr>
          <w:rFonts w:ascii="宋体" w:hAnsi="宋体" w:eastAsia="宋体" w:cs="宋体"/>
          <w:color w:val="333333"/>
          <w:kern w:val="0"/>
          <w:sz w:val="24"/>
          <w:szCs w:val="24"/>
        </w:rPr>
        <w:t>4</w:t>
      </w:r>
      <w:r>
        <w:rPr>
          <w:rFonts w:hint="eastAsia" w:ascii="宋体" w:hAnsi="宋体" w:eastAsia="宋体" w:cs="宋体"/>
          <w:color w:val="333333"/>
          <w:kern w:val="0"/>
          <w:sz w:val="24"/>
          <w:szCs w:val="24"/>
        </w:rPr>
        <w:t>）支付方式：</w:t>
      </w:r>
      <w:r>
        <w:rPr>
          <w:rFonts w:hint="eastAsia"/>
          <w:color w:val="000000" w:themeColor="text1"/>
          <w:sz w:val="24"/>
          <w14:textFill>
            <w14:solidFill>
              <w14:schemeClr w14:val="tx1"/>
            </w14:solidFill>
          </w14:textFill>
        </w:rPr>
        <w:t>一次付清</w:t>
      </w:r>
      <w:r>
        <w:rPr>
          <w:rFonts w:hint="eastAsia" w:ascii="宋体" w:hAnsi="宋体" w:eastAsia="宋体" w:cs="宋体"/>
          <w:color w:val="0000FF"/>
          <w:kern w:val="0"/>
          <w:sz w:val="24"/>
          <w:szCs w:val="24"/>
        </w:rPr>
        <w:t>☑</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   分期付款</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比例</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 xml:space="preserve">  （0</w:t>
      </w:r>
      <w:r>
        <w:rPr>
          <w:rFonts w:ascii="宋体" w:hAnsi="宋体" w:eastAsia="宋体" w:cs="宋体"/>
          <w:color w:val="000000" w:themeColor="text1"/>
          <w:kern w:val="0"/>
          <w:sz w:val="24"/>
          <w:szCs w:val="24"/>
          <w14:textFill>
            <w14:solidFill>
              <w14:schemeClr w14:val="tx1"/>
            </w14:solidFill>
          </w14:textFill>
        </w:rPr>
        <w:t>-100%可选</w:t>
      </w:r>
      <w:r>
        <w:rPr>
          <w:rFonts w:hint="eastAsia" w:ascii="宋体" w:hAnsi="宋体" w:eastAsia="宋体" w:cs="宋体"/>
          <w:color w:val="000000" w:themeColor="text1"/>
          <w:kern w:val="0"/>
          <w:sz w:val="24"/>
          <w:szCs w:val="24"/>
          <w14:textFill>
            <w14:solidFill>
              <w14:schemeClr w14:val="tx1"/>
            </w14:solidFill>
          </w14:textFill>
        </w:rPr>
        <w:t>）</w:t>
      </w:r>
    </w:p>
    <w:p>
      <w:pPr>
        <w:ind w:firstLine="840" w:firstLineChars="300"/>
        <w:rPr>
          <w:sz w:val="28"/>
        </w:rPr>
      </w:pPr>
      <w:r>
        <w:rPr>
          <w:sz w:val="28"/>
        </w:rPr>
        <w:t>5</w:t>
      </w:r>
      <w:r>
        <w:rPr>
          <w:rFonts w:hint="eastAsia"/>
          <w:sz w:val="28"/>
        </w:rPr>
        <w:t>）履约保证金及缴纳形式：</w:t>
      </w:r>
    </w:p>
    <w:p>
      <w:pPr>
        <w:ind w:firstLine="840" w:firstLineChars="300"/>
        <w:rPr>
          <w:sz w:val="28"/>
        </w:rPr>
      </w:pPr>
      <w:r>
        <w:rPr>
          <w:rFonts w:hint="eastAsia"/>
          <w:sz w:val="28"/>
        </w:rPr>
        <w:t>中标/成交供应商是否需要缴纳履约保证金：是</w:t>
      </w:r>
    </w:p>
    <w:p>
      <w:pPr>
        <w:ind w:firstLine="840" w:firstLineChars="300"/>
        <w:rPr>
          <w:sz w:val="28"/>
        </w:rPr>
      </w:pPr>
      <w:r>
        <w:rPr>
          <w:rFonts w:hint="eastAsia"/>
          <w:sz w:val="28"/>
        </w:rPr>
        <w:t>履约保证金缴纳比例：5%</w:t>
      </w:r>
    </w:p>
    <w:p>
      <w:pPr>
        <w:ind w:firstLine="840" w:firstLineChars="300"/>
        <w:rPr>
          <w:sz w:val="28"/>
        </w:rPr>
      </w:pPr>
      <w:r>
        <w:rPr>
          <w:rFonts w:hint="eastAsia"/>
          <w:sz w:val="28"/>
        </w:rPr>
        <w:t>缴纳方式：银行转账</w:t>
      </w:r>
    </w:p>
    <w:p>
      <w:pPr>
        <w:ind w:firstLine="840" w:firstLineChars="300"/>
        <w:rPr>
          <w:sz w:val="28"/>
        </w:rPr>
      </w:pPr>
      <w:r>
        <w:rPr>
          <w:rFonts w:hint="eastAsia"/>
          <w:sz w:val="28"/>
        </w:rPr>
        <w:t>缴纳说明：缴纳履约保证金后签订合同</w:t>
      </w:r>
    </w:p>
    <w:p>
      <w:pPr>
        <w:ind w:firstLine="840" w:firstLineChars="300"/>
        <w:rPr>
          <w:sz w:val="28"/>
        </w:rPr>
      </w:pPr>
      <w:r>
        <w:rPr>
          <w:sz w:val="28"/>
        </w:rPr>
        <w:t>6</w:t>
      </w:r>
      <w:r>
        <w:rPr>
          <w:rFonts w:hint="eastAsia"/>
          <w:sz w:val="28"/>
        </w:rPr>
        <w:t>）质量保证金及缴纳形式：</w:t>
      </w:r>
    </w:p>
    <w:p>
      <w:pPr>
        <w:ind w:firstLine="700" w:firstLineChars="250"/>
        <w:rPr>
          <w:sz w:val="28"/>
        </w:rPr>
      </w:pPr>
      <w:r>
        <w:rPr>
          <w:rFonts w:hint="eastAsia"/>
          <w:sz w:val="28"/>
        </w:rPr>
        <w:t>中标/成交供应商是否需要缴纳质量保证金：否</w:t>
      </w:r>
    </w:p>
    <w:p>
      <w:pPr>
        <w:widowControl/>
        <w:shd w:val="clear" w:color="auto" w:fill="FFFFFF"/>
        <w:spacing w:line="480" w:lineRule="auto"/>
        <w:ind w:firstLine="720" w:firstLineChars="300"/>
        <w:rPr>
          <w:rFonts w:ascii="宋体" w:hAnsi="宋体" w:eastAsia="宋体" w:cs="宋体"/>
          <w:color w:val="333333"/>
          <w:kern w:val="0"/>
          <w:sz w:val="24"/>
          <w:szCs w:val="24"/>
        </w:rPr>
      </w:pPr>
      <w:r>
        <w:rPr>
          <w:rFonts w:hint="eastAsia" w:ascii="宋体" w:hAnsi="宋体" w:eastAsia="宋体" w:cs="宋体"/>
          <w:color w:val="FF0000"/>
          <w:kern w:val="0"/>
          <w:sz w:val="24"/>
          <w:szCs w:val="24"/>
        </w:rPr>
        <w:t>合同支付约定</w:t>
      </w:r>
    </w:p>
    <w:p>
      <w:pPr>
        <w:widowControl/>
        <w:shd w:val="clear" w:color="auto" w:fill="FFFFFF"/>
        <w:spacing w:line="480" w:lineRule="auto"/>
        <w:ind w:firstLine="720" w:firstLineChars="300"/>
        <w:rPr>
          <w:rFonts w:ascii="宋体" w:hAnsi="宋体" w:eastAsia="宋体" w:cs="宋体"/>
          <w:color w:val="FF0000"/>
          <w:kern w:val="0"/>
          <w:sz w:val="24"/>
          <w:szCs w:val="24"/>
        </w:rPr>
      </w:pPr>
      <w:r>
        <w:rPr>
          <w:rFonts w:hint="eastAsia" w:ascii="宋体" w:hAnsi="宋体" w:eastAsia="宋体" w:cs="宋体"/>
          <w:color w:val="FF0000"/>
          <w:kern w:val="0"/>
          <w:sz w:val="24"/>
          <w:szCs w:val="24"/>
        </w:rPr>
        <w:t>付款</w:t>
      </w:r>
      <w:r>
        <w:rPr>
          <w:rFonts w:ascii="宋体" w:hAnsi="宋体" w:eastAsia="宋体" w:cs="宋体"/>
          <w:color w:val="FF0000"/>
          <w:kern w:val="0"/>
          <w:sz w:val="24"/>
          <w:szCs w:val="24"/>
        </w:rPr>
        <w:t>条件：</w:t>
      </w:r>
      <w:r>
        <w:rPr>
          <w:rFonts w:hint="eastAsia" w:ascii="宋体" w:hAnsi="宋体" w:eastAsia="宋体" w:cs="宋体"/>
          <w:color w:val="FF0000"/>
          <w:kern w:val="0"/>
          <w:sz w:val="24"/>
          <w:szCs w:val="24"/>
        </w:rPr>
        <w:t>达到付款</w:t>
      </w:r>
      <w:r>
        <w:rPr>
          <w:rFonts w:ascii="宋体" w:hAnsi="宋体" w:eastAsia="宋体" w:cs="宋体"/>
          <w:color w:val="FF0000"/>
          <w:kern w:val="0"/>
          <w:sz w:val="24"/>
          <w:szCs w:val="24"/>
        </w:rPr>
        <w:t>条件起</w:t>
      </w:r>
      <w:r>
        <w:rPr>
          <w:rFonts w:hint="eastAsia" w:ascii="宋体" w:hAnsi="宋体" w:eastAsia="宋体" w:cs="宋体"/>
          <w:color w:val="0000FF"/>
          <w:kern w:val="0"/>
          <w:sz w:val="24"/>
          <w:szCs w:val="24"/>
        </w:rPr>
        <w:t xml:space="preserve"> </w:t>
      </w:r>
      <w:r>
        <w:rPr>
          <w:rFonts w:hint="eastAsia" w:ascii="宋体" w:hAnsi="宋体"/>
          <w:bCs/>
          <w:color w:val="0000FF"/>
          <w:sz w:val="24"/>
        </w:rPr>
        <w:t>15个工作日内</w:t>
      </w:r>
      <w:r>
        <w:rPr>
          <w:rFonts w:hint="eastAsia" w:ascii="宋体" w:hAnsi="宋体" w:eastAsia="宋体" w:cs="宋体"/>
          <w:color w:val="0000FF"/>
          <w:kern w:val="0"/>
          <w:sz w:val="24"/>
          <w:szCs w:val="24"/>
        </w:rPr>
        <w:t xml:space="preserve"> </w:t>
      </w:r>
      <w:r>
        <w:rPr>
          <w:rFonts w:hint="eastAsia" w:ascii="宋体" w:hAnsi="宋体" w:eastAsia="宋体" w:cs="宋体"/>
          <w:color w:val="FF0000"/>
          <w:kern w:val="0"/>
          <w:sz w:val="24"/>
          <w:szCs w:val="24"/>
        </w:rPr>
        <w:t>日</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支付合同</w:t>
      </w:r>
      <w:r>
        <w:rPr>
          <w:rFonts w:ascii="宋体" w:hAnsi="宋体" w:eastAsia="宋体" w:cs="宋体"/>
          <w:color w:val="FF0000"/>
          <w:kern w:val="0"/>
          <w:sz w:val="24"/>
          <w:szCs w:val="24"/>
        </w:rPr>
        <w:t>总金额</w:t>
      </w:r>
      <w:r>
        <w:rPr>
          <w:rFonts w:hint="eastAsia" w:ascii="宋体" w:hAnsi="宋体" w:eastAsia="宋体" w:cs="宋体"/>
          <w:color w:val="FF0000"/>
          <w:kern w:val="0"/>
          <w:sz w:val="24"/>
          <w:szCs w:val="24"/>
        </w:rPr>
        <w:t xml:space="preserve"> </w:t>
      </w:r>
      <w:r>
        <w:rPr>
          <w:rFonts w:ascii="宋体" w:hAnsi="宋体" w:eastAsia="宋体" w:cs="宋体"/>
          <w:color w:val="FF0000"/>
          <w:kern w:val="0"/>
          <w:sz w:val="24"/>
          <w:szCs w:val="24"/>
        </w:rPr>
        <w:t>100</w:t>
      </w:r>
      <w:r>
        <w:rPr>
          <w:rFonts w:hint="eastAsia" w:ascii="宋体" w:hAnsi="宋体" w:eastAsia="宋体" w:cs="宋体"/>
          <w:color w:val="FF0000"/>
          <w:kern w:val="0"/>
          <w:sz w:val="24"/>
          <w:szCs w:val="24"/>
        </w:rPr>
        <w:t xml:space="preserve"> </w:t>
      </w:r>
      <w:r>
        <w:rPr>
          <w:rFonts w:ascii="宋体" w:hAnsi="宋体" w:eastAsia="宋体" w:cs="宋体"/>
          <w:color w:val="FF0000"/>
          <w:kern w:val="0"/>
          <w:sz w:val="24"/>
          <w:szCs w:val="24"/>
        </w:rPr>
        <w:t>%。</w:t>
      </w:r>
    </w:p>
    <w:p>
      <w:pPr>
        <w:widowControl/>
        <w:shd w:val="clear" w:color="auto" w:fill="FFFFFF"/>
        <w:spacing w:line="480" w:lineRule="auto"/>
        <w:ind w:firstLine="720" w:firstLineChars="300"/>
        <w:rPr>
          <w:rFonts w:ascii="宋体" w:hAnsi="宋体" w:eastAsia="宋体" w:cs="宋体"/>
          <w:color w:val="FF0000"/>
          <w:kern w:val="0"/>
          <w:sz w:val="24"/>
          <w:szCs w:val="24"/>
        </w:rPr>
      </w:pPr>
      <w:r>
        <w:rPr>
          <w:rFonts w:hint="eastAsia" w:ascii="宋体" w:hAnsi="宋体" w:eastAsia="宋体" w:cs="宋体"/>
          <w:color w:val="FF0000"/>
          <w:kern w:val="0"/>
          <w:sz w:val="24"/>
          <w:szCs w:val="24"/>
        </w:rPr>
        <w:t>分期付款条件（如有）：</w:t>
      </w:r>
    </w:p>
    <w:p>
      <w:pPr>
        <w:widowControl/>
        <w:shd w:val="clear" w:color="auto" w:fill="FFFFFF"/>
        <w:spacing w:line="480" w:lineRule="auto"/>
        <w:ind w:firstLine="720" w:firstLineChars="300"/>
        <w:rPr>
          <w:rFonts w:ascii="宋体" w:hAnsi="宋体" w:eastAsia="宋体" w:cs="宋体"/>
          <w:color w:val="FF0000"/>
          <w:kern w:val="0"/>
          <w:sz w:val="24"/>
          <w:szCs w:val="24"/>
        </w:rPr>
      </w:pPr>
      <w:r>
        <w:rPr>
          <w:rFonts w:hint="eastAsia" w:ascii="宋体" w:hAnsi="宋体" w:eastAsia="宋体" w:cs="宋体"/>
          <w:color w:val="FF0000"/>
          <w:kern w:val="0"/>
          <w:sz w:val="24"/>
          <w:szCs w:val="24"/>
        </w:rPr>
        <w:t>达到付款</w:t>
      </w:r>
      <w:r>
        <w:rPr>
          <w:rFonts w:ascii="宋体" w:hAnsi="宋体" w:eastAsia="宋体" w:cs="宋体"/>
          <w:color w:val="FF0000"/>
          <w:kern w:val="0"/>
          <w:sz w:val="24"/>
          <w:szCs w:val="24"/>
        </w:rPr>
        <w:t>条件起</w:t>
      </w:r>
      <w:r>
        <w:rPr>
          <w:rFonts w:hint="eastAsia" w:ascii="宋体" w:hAnsi="宋体" w:eastAsia="宋体" w:cs="宋体"/>
          <w:color w:val="FF0000"/>
          <w:kern w:val="0"/>
          <w:sz w:val="24"/>
          <w:szCs w:val="24"/>
        </w:rPr>
        <w:t xml:space="preserve">     日</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支付合同</w:t>
      </w:r>
      <w:r>
        <w:rPr>
          <w:rFonts w:ascii="宋体" w:hAnsi="宋体" w:eastAsia="宋体" w:cs="宋体"/>
          <w:color w:val="FF0000"/>
          <w:kern w:val="0"/>
          <w:sz w:val="24"/>
          <w:szCs w:val="24"/>
        </w:rPr>
        <w:t>总金额</w:t>
      </w:r>
      <w:r>
        <w:rPr>
          <w:rFonts w:hint="eastAsia" w:ascii="宋体" w:hAnsi="宋体" w:eastAsia="宋体" w:cs="宋体"/>
          <w:color w:val="FF0000"/>
          <w:kern w:val="0"/>
          <w:sz w:val="24"/>
          <w:szCs w:val="24"/>
        </w:rPr>
        <w:t xml:space="preserve">       </w:t>
      </w:r>
      <w:r>
        <w:rPr>
          <w:rFonts w:ascii="宋体" w:hAnsi="宋体" w:eastAsia="宋体" w:cs="宋体"/>
          <w:color w:val="FF0000"/>
          <w:kern w:val="0"/>
          <w:sz w:val="24"/>
          <w:szCs w:val="24"/>
        </w:rPr>
        <w:t>%。</w:t>
      </w:r>
    </w:p>
    <w:p>
      <w:pPr>
        <w:widowControl/>
        <w:shd w:val="clear" w:color="auto" w:fill="FFFFFF"/>
        <w:spacing w:line="480" w:lineRule="auto"/>
        <w:ind w:firstLine="840"/>
        <w:rPr>
          <w:rFonts w:ascii="宋体" w:hAnsi="宋体" w:eastAsia="宋体" w:cs="宋体"/>
          <w:color w:val="FF0000"/>
          <w:kern w:val="0"/>
          <w:sz w:val="24"/>
          <w:szCs w:val="24"/>
        </w:rPr>
      </w:pPr>
      <w:r>
        <w:rPr>
          <w:rFonts w:ascii="宋体" w:hAnsi="宋体" w:eastAsia="宋体" w:cs="宋体"/>
          <w:color w:val="FF0000"/>
          <w:kern w:val="0"/>
          <w:sz w:val="24"/>
          <w:szCs w:val="24"/>
        </w:rPr>
        <w:t>7</w:t>
      </w:r>
      <w:r>
        <w:rPr>
          <w:rFonts w:hint="eastAsia" w:ascii="宋体" w:hAnsi="宋体" w:eastAsia="宋体" w:cs="宋体"/>
          <w:color w:val="FF0000"/>
          <w:kern w:val="0"/>
          <w:sz w:val="24"/>
          <w:szCs w:val="24"/>
        </w:rPr>
        <w:t>）验收交付标准和方法：</w:t>
      </w:r>
    </w:p>
    <w:p>
      <w:pPr>
        <w:widowControl/>
        <w:shd w:val="clear" w:color="auto" w:fill="FFFFFF"/>
        <w:spacing w:line="480" w:lineRule="auto"/>
        <w:ind w:firstLine="840"/>
        <w:rPr>
          <w:rFonts w:ascii="宋体" w:hAnsi="宋体" w:eastAsia="宋体" w:cs="宋体"/>
          <w:color w:val="0000FF"/>
          <w:kern w:val="0"/>
          <w:sz w:val="24"/>
          <w:szCs w:val="24"/>
        </w:rPr>
      </w:pPr>
      <w:r>
        <w:rPr>
          <w:rFonts w:hint="eastAsia" w:ascii="宋体" w:hAnsi="宋体"/>
          <w:color w:val="0000FF"/>
          <w:sz w:val="24"/>
        </w:rPr>
        <w:t>（1）</w:t>
      </w:r>
      <w:r>
        <w:rPr>
          <w:rFonts w:hint="eastAsia" w:hAnsi="宋体"/>
          <w:color w:val="0000FF"/>
          <w:sz w:val="24"/>
        </w:rPr>
        <w:t>严格</w:t>
      </w:r>
      <w:r>
        <w:rPr>
          <w:rFonts w:hAnsi="宋体"/>
          <w:color w:val="0000FF"/>
          <w:sz w:val="24"/>
        </w:rPr>
        <w:t>按照</w:t>
      </w:r>
      <w:r>
        <w:rPr>
          <w:rFonts w:hint="eastAsia" w:hAnsi="宋体"/>
          <w:color w:val="0000FF"/>
          <w:sz w:val="24"/>
        </w:rPr>
        <w:t>采购</w:t>
      </w:r>
      <w:r>
        <w:rPr>
          <w:rFonts w:hAnsi="宋体"/>
          <w:color w:val="0000FF"/>
          <w:sz w:val="24"/>
        </w:rPr>
        <w:t>文件要求和</w:t>
      </w:r>
      <w:r>
        <w:rPr>
          <w:rFonts w:hint="eastAsia" w:hAnsi="宋体"/>
          <w:color w:val="0000FF"/>
          <w:sz w:val="24"/>
        </w:rPr>
        <w:t>成交</w:t>
      </w:r>
      <w:r>
        <w:rPr>
          <w:rFonts w:hAnsi="宋体"/>
          <w:color w:val="0000FF"/>
          <w:sz w:val="24"/>
        </w:rPr>
        <w:t>供应商</w:t>
      </w:r>
      <w:r>
        <w:rPr>
          <w:rFonts w:hint="eastAsia" w:hAnsi="宋体"/>
          <w:color w:val="0000FF"/>
          <w:sz w:val="24"/>
        </w:rPr>
        <w:t>响应</w:t>
      </w:r>
      <w:r>
        <w:rPr>
          <w:rFonts w:hAnsi="宋体"/>
          <w:color w:val="0000FF"/>
          <w:sz w:val="24"/>
        </w:rPr>
        <w:t>文件</w:t>
      </w:r>
      <w:r>
        <w:rPr>
          <w:rFonts w:hint="eastAsia" w:hAnsi="宋体"/>
          <w:color w:val="0000FF"/>
          <w:sz w:val="24"/>
        </w:rPr>
        <w:t>内容进行验收。</w:t>
      </w:r>
    </w:p>
    <w:p>
      <w:pPr>
        <w:widowControl/>
        <w:shd w:val="clear" w:color="auto" w:fill="FFFFFF"/>
        <w:spacing w:line="480" w:lineRule="auto"/>
        <w:ind w:firstLine="840"/>
        <w:rPr>
          <w:rFonts w:ascii="宋体" w:hAnsi="宋体" w:eastAsia="宋体" w:cs="宋体"/>
          <w:color w:val="FF0000"/>
          <w:kern w:val="0"/>
          <w:sz w:val="24"/>
          <w:szCs w:val="24"/>
        </w:rPr>
      </w:pPr>
      <w:r>
        <w:rPr>
          <w:rFonts w:ascii="宋体" w:hAnsi="宋体" w:eastAsia="宋体" w:cs="宋体"/>
          <w:color w:val="FF0000"/>
          <w:kern w:val="0"/>
          <w:sz w:val="24"/>
          <w:szCs w:val="24"/>
        </w:rPr>
        <w:t>8</w:t>
      </w:r>
      <w:r>
        <w:rPr>
          <w:rFonts w:hint="eastAsia" w:ascii="宋体" w:hAnsi="宋体" w:eastAsia="宋体" w:cs="宋体"/>
          <w:color w:val="FF0000"/>
          <w:kern w:val="0"/>
          <w:sz w:val="24"/>
          <w:szCs w:val="24"/>
        </w:rPr>
        <w:t>）质量保修范围和保修期：</w:t>
      </w:r>
    </w:p>
    <w:p>
      <w:pPr>
        <w:widowControl/>
        <w:ind w:firstLine="720" w:firstLineChars="300"/>
        <w:jc w:val="left"/>
        <w:rPr>
          <w:rFonts w:ascii="宋体" w:hAnsi="宋体"/>
          <w:color w:val="0000FF"/>
          <w:sz w:val="24"/>
        </w:rPr>
      </w:pPr>
      <w:r>
        <w:rPr>
          <w:rFonts w:hint="eastAsia" w:ascii="宋体" w:hAnsi="宋体"/>
          <w:color w:val="0000FF"/>
          <w:sz w:val="24"/>
        </w:rPr>
        <w:t>1、质保期为验收合格后</w:t>
      </w:r>
      <w:r>
        <w:rPr>
          <w:rFonts w:hint="eastAsia" w:ascii="宋体" w:hAnsi="宋体"/>
          <w:color w:val="0000FF"/>
          <w:sz w:val="24"/>
          <w:lang w:val="en-US" w:eastAsia="zh-CN"/>
        </w:rPr>
        <w:t>5</w:t>
      </w:r>
      <w:r>
        <w:rPr>
          <w:rFonts w:hint="eastAsia" w:ascii="宋体" w:hAnsi="宋体"/>
          <w:color w:val="0000FF"/>
          <w:sz w:val="24"/>
        </w:rPr>
        <w:t>年，质保期内出现质量问题，乙方在接到通知后3个小时内响应到场，8小时内完成维修或更换，并承担修理挑换的费用；如货物经乙方3次维修仍不能达到本合同约定的质量标准，视作乙方未能按时交货，甲方有权退货并追究乙方的违约责任。</w:t>
      </w:r>
    </w:p>
    <w:p>
      <w:pPr>
        <w:widowControl/>
        <w:ind w:firstLine="720" w:firstLineChars="300"/>
        <w:jc w:val="left"/>
        <w:rPr>
          <w:rFonts w:ascii="宋体" w:hAnsi="宋体"/>
          <w:bCs/>
          <w:color w:val="0000FF"/>
          <w:sz w:val="24"/>
        </w:rPr>
      </w:pPr>
      <w:r>
        <w:rPr>
          <w:rFonts w:hint="eastAsia" w:ascii="宋体" w:hAnsi="宋体"/>
          <w:bCs/>
          <w:color w:val="0000FF"/>
          <w:sz w:val="24"/>
        </w:rPr>
        <w:t>2、项目整体安装验收完成后，乙方仍须指派2-5名安装人员备齐零部件驻校维修维护，所有产品通过30天试用期正常运行无故障后方能离校。</w:t>
      </w:r>
    </w:p>
    <w:p>
      <w:pPr>
        <w:widowControl/>
        <w:ind w:firstLine="720" w:firstLineChars="300"/>
        <w:jc w:val="left"/>
        <w:rPr>
          <w:rFonts w:ascii="宋体" w:hAnsi="宋体"/>
          <w:bCs/>
          <w:color w:val="0000FF"/>
          <w:sz w:val="24"/>
        </w:rPr>
      </w:pPr>
      <w:r>
        <w:rPr>
          <w:rFonts w:hint="eastAsia" w:ascii="宋体" w:hAnsi="宋体"/>
          <w:bCs/>
          <w:color w:val="0000FF"/>
          <w:sz w:val="24"/>
        </w:rPr>
        <w:t>3、质保责任：质保期内系统的维修、维护、保养工作由中标人和设备制造商负责，包括专线服务、所有部件的免费更换；质保期内由于设计、产品、施工质量原因造成的任何损伤和损坏（人为损坏除外），投标人和主要设备制造商须免费负责修理或更换。</w:t>
      </w:r>
    </w:p>
    <w:p>
      <w:pPr>
        <w:widowControl/>
        <w:ind w:firstLine="720" w:firstLineChars="300"/>
        <w:jc w:val="left"/>
        <w:rPr>
          <w:rFonts w:ascii="宋体" w:hAnsi="宋体"/>
          <w:bCs/>
          <w:color w:val="0000FF"/>
          <w:sz w:val="24"/>
        </w:rPr>
      </w:pPr>
      <w:r>
        <w:rPr>
          <w:rFonts w:hint="eastAsia" w:ascii="宋体" w:hAnsi="宋体"/>
          <w:bCs/>
          <w:color w:val="0000FF"/>
          <w:sz w:val="24"/>
        </w:rPr>
        <w:t>4、中标人应按要求为甲方提供技术、使用、维护培训，培训产生的任何费用均包含在本项目的总投标报价中。</w:t>
      </w:r>
    </w:p>
    <w:p>
      <w:pPr>
        <w:widowControl/>
        <w:shd w:val="clear" w:color="auto" w:fill="FFFFFF"/>
        <w:spacing w:line="480" w:lineRule="auto"/>
        <w:ind w:firstLine="840"/>
        <w:rPr>
          <w:rFonts w:ascii="宋体" w:hAnsi="宋体" w:eastAsia="宋体" w:cs="宋体"/>
          <w:color w:val="0000FF"/>
          <w:kern w:val="0"/>
          <w:sz w:val="24"/>
          <w:szCs w:val="24"/>
        </w:rPr>
      </w:pPr>
    </w:p>
    <w:p>
      <w:pPr>
        <w:widowControl/>
        <w:shd w:val="clear" w:color="auto" w:fill="FFFFFF"/>
        <w:spacing w:line="480" w:lineRule="auto"/>
        <w:ind w:firstLine="840"/>
        <w:rPr>
          <w:rFonts w:ascii="宋体" w:hAnsi="宋体" w:eastAsia="宋体" w:cs="宋体"/>
          <w:color w:val="FF0000"/>
          <w:kern w:val="0"/>
          <w:sz w:val="24"/>
          <w:szCs w:val="24"/>
        </w:rPr>
      </w:pPr>
      <w:r>
        <w:rPr>
          <w:rFonts w:ascii="宋体" w:hAnsi="宋体" w:eastAsia="宋体" w:cs="宋体"/>
          <w:color w:val="FF0000"/>
          <w:kern w:val="0"/>
          <w:sz w:val="24"/>
          <w:szCs w:val="24"/>
        </w:rPr>
        <w:t>9</w:t>
      </w:r>
      <w:r>
        <w:rPr>
          <w:rFonts w:hint="eastAsia" w:ascii="宋体" w:hAnsi="宋体" w:eastAsia="宋体" w:cs="宋体"/>
          <w:color w:val="FF0000"/>
          <w:kern w:val="0"/>
          <w:sz w:val="24"/>
          <w:szCs w:val="24"/>
        </w:rPr>
        <w:t>）知识产权归属和处理方式：</w:t>
      </w:r>
    </w:p>
    <w:p>
      <w:pPr>
        <w:widowControl/>
        <w:shd w:val="clear" w:color="auto" w:fill="FFFFFF"/>
        <w:spacing w:line="480" w:lineRule="auto"/>
        <w:ind w:firstLine="840"/>
        <w:rPr>
          <w:rFonts w:ascii="宋体" w:hAnsi="宋体" w:eastAsia="宋体" w:cs="宋体"/>
          <w:color w:val="0000FF"/>
          <w:kern w:val="0"/>
          <w:sz w:val="24"/>
          <w:szCs w:val="24"/>
        </w:rPr>
      </w:pPr>
      <w:r>
        <w:rPr>
          <w:rFonts w:hint="eastAsia" w:ascii="宋体"/>
          <w:color w:val="0000FF"/>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color w:val="0000FF"/>
          <w:u w:val="single"/>
        </w:rPr>
        <w:t xml:space="preserve">   </w:t>
      </w:r>
      <w:r>
        <w:rPr>
          <w:rFonts w:hint="eastAsia" w:ascii="宋体"/>
          <w:color w:val="0000FF"/>
        </w:rPr>
        <w:t>向甲方支付违约金并赔偿因此给甲方造成的一切损失。</w:t>
      </w:r>
    </w:p>
    <w:p>
      <w:pPr>
        <w:widowControl/>
        <w:shd w:val="clear" w:color="auto" w:fill="FFFFFF"/>
        <w:spacing w:line="480" w:lineRule="auto"/>
        <w:ind w:firstLine="840"/>
        <w:rPr>
          <w:rFonts w:ascii="宋体" w:hAnsi="宋体" w:eastAsia="宋体" w:cs="宋体"/>
          <w:color w:val="FF0000"/>
          <w:kern w:val="0"/>
          <w:sz w:val="24"/>
          <w:szCs w:val="24"/>
        </w:rPr>
      </w:pPr>
      <w:r>
        <w:rPr>
          <w:rFonts w:hint="eastAsia" w:ascii="宋体" w:hAnsi="宋体" w:eastAsia="宋体" w:cs="宋体"/>
          <w:color w:val="FF0000"/>
          <w:kern w:val="0"/>
          <w:sz w:val="24"/>
          <w:szCs w:val="24"/>
        </w:rPr>
        <w:t>1</w:t>
      </w:r>
      <w:r>
        <w:rPr>
          <w:rFonts w:ascii="宋体" w:hAnsi="宋体" w:eastAsia="宋体" w:cs="宋体"/>
          <w:color w:val="FF0000"/>
          <w:kern w:val="0"/>
          <w:sz w:val="24"/>
          <w:szCs w:val="24"/>
        </w:rPr>
        <w:t>0</w:t>
      </w:r>
      <w:r>
        <w:rPr>
          <w:rFonts w:hint="eastAsia" w:ascii="宋体" w:hAnsi="宋体" w:eastAsia="宋体" w:cs="宋体"/>
          <w:color w:val="FF0000"/>
          <w:kern w:val="0"/>
          <w:sz w:val="24"/>
          <w:szCs w:val="24"/>
        </w:rPr>
        <w:t>）成本补偿和风险分担约定：</w:t>
      </w:r>
    </w:p>
    <w:p>
      <w:pPr>
        <w:widowControl/>
        <w:shd w:val="clear" w:color="auto" w:fill="FFFFFF"/>
        <w:spacing w:line="480" w:lineRule="auto"/>
        <w:ind w:firstLine="840"/>
        <w:rPr>
          <w:rFonts w:ascii="宋体" w:hAnsi="宋体" w:eastAsia="宋体" w:cs="宋体"/>
          <w:color w:val="FF0000"/>
          <w:kern w:val="0"/>
          <w:sz w:val="24"/>
          <w:szCs w:val="24"/>
        </w:rPr>
      </w:pPr>
    </w:p>
    <w:p>
      <w:pPr>
        <w:widowControl/>
        <w:shd w:val="clear" w:color="auto" w:fill="FFFFFF"/>
        <w:spacing w:line="480" w:lineRule="auto"/>
        <w:ind w:firstLine="840"/>
        <w:rPr>
          <w:rFonts w:ascii="宋体" w:hAnsi="宋体" w:eastAsia="宋体" w:cs="宋体"/>
          <w:color w:val="FF0000"/>
          <w:kern w:val="0"/>
          <w:sz w:val="24"/>
          <w:szCs w:val="24"/>
          <w:shd w:val="clear" w:color="auto" w:fill="FFFF00"/>
        </w:rPr>
      </w:pPr>
      <w:r>
        <w:rPr>
          <w:rFonts w:hint="eastAsia" w:ascii="宋体" w:hAnsi="宋体" w:eastAsia="宋体" w:cs="宋体"/>
          <w:color w:val="FF0000"/>
          <w:kern w:val="0"/>
          <w:sz w:val="24"/>
          <w:szCs w:val="24"/>
        </w:rPr>
        <w:t>1</w:t>
      </w:r>
      <w:r>
        <w:rPr>
          <w:rFonts w:ascii="宋体" w:hAnsi="宋体" w:eastAsia="宋体" w:cs="宋体"/>
          <w:color w:val="FF0000"/>
          <w:kern w:val="0"/>
          <w:sz w:val="24"/>
          <w:szCs w:val="24"/>
        </w:rPr>
        <w:t>1</w:t>
      </w:r>
      <w:r>
        <w:rPr>
          <w:rFonts w:hint="eastAsia" w:ascii="宋体" w:hAnsi="宋体" w:eastAsia="宋体" w:cs="宋体"/>
          <w:color w:val="FF0000"/>
          <w:kern w:val="0"/>
          <w:sz w:val="24"/>
          <w:szCs w:val="24"/>
        </w:rPr>
        <w:t>）违约责任与解决争议的方法：</w:t>
      </w:r>
    </w:p>
    <w:p>
      <w:pPr>
        <w:pStyle w:val="17"/>
        <w:ind w:firstLine="480"/>
        <w:rPr>
          <w:rFonts w:ascii="宋体"/>
          <w:color w:val="0000FF"/>
        </w:rPr>
      </w:pPr>
      <w:r>
        <w:rPr>
          <w:rFonts w:hint="eastAsia" w:ascii="宋体"/>
          <w:color w:val="0000FF"/>
        </w:rPr>
        <w:t>1、甲方违约责任</w:t>
      </w:r>
    </w:p>
    <w:p>
      <w:pPr>
        <w:pStyle w:val="17"/>
        <w:ind w:firstLine="480"/>
        <w:rPr>
          <w:rFonts w:ascii="宋体"/>
          <w:color w:val="0000FF"/>
        </w:rPr>
      </w:pPr>
      <w:r>
        <w:rPr>
          <w:rFonts w:hint="eastAsia" w:ascii="宋体"/>
          <w:color w:val="0000FF"/>
        </w:rPr>
        <w:t>（1） 甲方无正当理由拒收货物的，甲方应偿付合同总价百分之  的违约金；</w:t>
      </w:r>
    </w:p>
    <w:p>
      <w:pPr>
        <w:pStyle w:val="17"/>
        <w:ind w:firstLine="480"/>
        <w:rPr>
          <w:rFonts w:ascii="宋体"/>
          <w:color w:val="0000FF"/>
        </w:rPr>
      </w:pPr>
      <w:r>
        <w:rPr>
          <w:rFonts w:hint="eastAsia" w:ascii="宋体"/>
          <w:color w:val="0000FF"/>
        </w:rPr>
        <w:t>（2） 甲方逾期支付货款的，除应及时付足货款外，应向乙方偿付欠款总额万分之</w:t>
      </w:r>
      <w:r>
        <w:rPr>
          <w:rFonts w:hint="eastAsia" w:ascii="宋体"/>
          <w:color w:val="0000FF"/>
          <w:u w:val="single"/>
        </w:rPr>
        <w:t xml:space="preserve">   </w:t>
      </w:r>
      <w:r>
        <w:rPr>
          <w:rFonts w:hint="eastAsia" w:ascii="宋体"/>
          <w:color w:val="0000FF"/>
        </w:rPr>
        <w:t>/天的违约金；逾期付款超过</w:t>
      </w:r>
      <w:r>
        <w:rPr>
          <w:rFonts w:hint="eastAsia" w:ascii="宋体"/>
          <w:color w:val="0000FF"/>
          <w:u w:val="single"/>
        </w:rPr>
        <w:t xml:space="preserve">  </w:t>
      </w:r>
      <w:r>
        <w:rPr>
          <w:rFonts w:hint="eastAsia" w:ascii="宋体"/>
          <w:color w:val="0000FF"/>
        </w:rPr>
        <w:t>天的，乙方有权终止合同；</w:t>
      </w:r>
    </w:p>
    <w:p>
      <w:pPr>
        <w:pStyle w:val="17"/>
        <w:ind w:firstLine="480"/>
        <w:rPr>
          <w:rFonts w:ascii="宋体"/>
          <w:color w:val="0000FF"/>
        </w:rPr>
      </w:pPr>
      <w:r>
        <w:rPr>
          <w:rFonts w:hint="eastAsia" w:ascii="宋体"/>
          <w:color w:val="0000FF"/>
        </w:rPr>
        <w:t>（3） 甲方偿付的违约金不足以弥补乙方损失的，还应按乙方损失尚未弥补的部分，支付赔偿金给乙方。</w:t>
      </w:r>
    </w:p>
    <w:p>
      <w:pPr>
        <w:pStyle w:val="17"/>
        <w:ind w:firstLine="480"/>
        <w:rPr>
          <w:rFonts w:ascii="宋体"/>
          <w:color w:val="0000FF"/>
        </w:rPr>
      </w:pPr>
      <w:r>
        <w:rPr>
          <w:rFonts w:hint="eastAsia" w:ascii="宋体"/>
          <w:color w:val="0000FF"/>
        </w:rPr>
        <w:t>2、乙方违约责任</w:t>
      </w:r>
    </w:p>
    <w:p>
      <w:pPr>
        <w:pStyle w:val="17"/>
        <w:ind w:firstLine="480"/>
        <w:rPr>
          <w:rFonts w:ascii="宋体"/>
          <w:color w:val="0000FF"/>
        </w:rPr>
      </w:pPr>
      <w:r>
        <w:rPr>
          <w:rFonts w:hint="eastAsia" w:ascii="宋体"/>
          <w:color w:val="0000FF"/>
        </w:rPr>
        <w:t>（1）乙方交付的货物质量不符合合同规定的，乙方应向甲方支付合同总价的百分之</w:t>
      </w:r>
      <w:r>
        <w:rPr>
          <w:rFonts w:hint="eastAsia" w:ascii="宋体"/>
          <w:color w:val="0000FF"/>
          <w:u w:val="single"/>
        </w:rPr>
        <w:t xml:space="preserve">  </w:t>
      </w:r>
      <w:r>
        <w:rPr>
          <w:rFonts w:hint="eastAsia" w:ascii="宋体"/>
          <w:color w:val="0000FF"/>
        </w:rPr>
        <w:t>的违约金，并须在合同规定的交货时间内更换合格的货物给甲方，否则，视作乙方不能交付货物而违约，按本条本款下述第“（2）”项规定由乙方偿付违约赔偿金给甲方。</w:t>
      </w:r>
    </w:p>
    <w:p>
      <w:pPr>
        <w:pStyle w:val="17"/>
        <w:ind w:firstLine="480"/>
        <w:rPr>
          <w:rFonts w:ascii="宋体"/>
          <w:color w:val="0000FF"/>
        </w:rPr>
      </w:pPr>
      <w:r>
        <w:rPr>
          <w:rFonts w:hint="eastAsia" w:ascii="宋体"/>
          <w:color w:val="0000FF"/>
        </w:rPr>
        <w:t>（2）乙方不能交付货物或逾期交付货物而违约的，除应及时交足货物外，应向甲方偿付逾期交货部分货款总额的万分之</w:t>
      </w:r>
      <w:r>
        <w:rPr>
          <w:rFonts w:hint="eastAsia" w:ascii="宋体"/>
          <w:color w:val="0000FF"/>
          <w:u w:val="single"/>
        </w:rPr>
        <w:t xml:space="preserve">   </w:t>
      </w:r>
      <w:r>
        <w:rPr>
          <w:rFonts w:hint="eastAsia" w:ascii="宋体"/>
          <w:color w:val="0000FF"/>
        </w:rPr>
        <w:t>/天的违约金；逾期交货超过</w:t>
      </w:r>
      <w:r>
        <w:rPr>
          <w:rFonts w:hint="eastAsia"/>
          <w:color w:val="0000FF"/>
          <w:szCs w:val="21"/>
        </w:rPr>
        <w:t>XX</w:t>
      </w:r>
      <w:r>
        <w:rPr>
          <w:rFonts w:hint="eastAsia" w:ascii="宋体"/>
          <w:color w:val="0000FF"/>
        </w:rPr>
        <w:t>天，甲方有权终止合同，乙方则应按合同总价的百分之</w:t>
      </w:r>
      <w:r>
        <w:rPr>
          <w:rFonts w:hint="eastAsia" w:ascii="宋体"/>
          <w:color w:val="0000FF"/>
          <w:u w:val="single"/>
        </w:rPr>
        <w:t xml:space="preserve">  </w:t>
      </w:r>
      <w:r>
        <w:rPr>
          <w:rFonts w:hint="eastAsia" w:ascii="宋体"/>
          <w:color w:val="0000FF"/>
        </w:rPr>
        <w:t>的款额向甲方偿付赔偿金，并须全额退还甲方已经付给乙方的货款及其利息。</w:t>
      </w:r>
    </w:p>
    <w:p>
      <w:pPr>
        <w:pStyle w:val="17"/>
        <w:ind w:firstLine="480"/>
        <w:rPr>
          <w:rFonts w:ascii="宋体"/>
          <w:color w:val="0000FF"/>
        </w:rPr>
      </w:pPr>
      <w:r>
        <w:rPr>
          <w:rFonts w:hint="eastAsia" w:ascii="宋体"/>
          <w:color w:val="0000FF"/>
        </w:rPr>
        <w:t>（3）乙方货物经甲方送交具有法定资格条件的质量技术监督机构检测后，如检测结果认定货物质量不符合本合同规定标准的，则视为乙方没有按时交货而违约，乙方须在</w:t>
      </w:r>
      <w:r>
        <w:rPr>
          <w:rFonts w:hint="eastAsia" w:ascii="宋体"/>
          <w:color w:val="0000FF"/>
          <w:u w:val="single"/>
        </w:rPr>
        <w:t xml:space="preserve">   </w:t>
      </w:r>
      <w:r>
        <w:rPr>
          <w:rFonts w:hint="eastAsia" w:ascii="宋体"/>
          <w:color w:val="0000FF"/>
        </w:rPr>
        <w:t>天内无条件更换合格的货物，如逾期不能更换合格的货物，甲方有权终止本合同，乙方应另付合同总价的百分之</w:t>
      </w:r>
      <w:r>
        <w:rPr>
          <w:rFonts w:hint="eastAsia" w:ascii="宋体"/>
          <w:color w:val="0000FF"/>
          <w:u w:val="single"/>
        </w:rPr>
        <w:t xml:space="preserve">   </w:t>
      </w:r>
      <w:r>
        <w:rPr>
          <w:rFonts w:hint="eastAsia" w:ascii="宋体"/>
          <w:color w:val="0000FF"/>
        </w:rPr>
        <w:t>的赔偿金给甲方。</w:t>
      </w:r>
    </w:p>
    <w:p>
      <w:pPr>
        <w:pStyle w:val="17"/>
        <w:ind w:firstLine="480"/>
        <w:rPr>
          <w:rFonts w:ascii="宋体"/>
          <w:color w:val="0000FF"/>
        </w:rPr>
      </w:pPr>
      <w:r>
        <w:rPr>
          <w:rFonts w:hint="eastAsia" w:ascii="宋体"/>
          <w:color w:val="0000FF"/>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color w:val="0000FF"/>
          <w:u w:val="single"/>
        </w:rPr>
        <w:t xml:space="preserve">   </w:t>
      </w:r>
      <w:r>
        <w:rPr>
          <w:rFonts w:hint="eastAsia" w:ascii="宋体"/>
          <w:color w:val="0000FF"/>
        </w:rPr>
        <w:t>向甲方支付违约金并赔偿因此给甲方造成的一切损失。</w:t>
      </w:r>
    </w:p>
    <w:p>
      <w:pPr>
        <w:pStyle w:val="17"/>
        <w:ind w:firstLine="480"/>
        <w:rPr>
          <w:rFonts w:ascii="宋体"/>
        </w:rPr>
      </w:pPr>
      <w:r>
        <w:rPr>
          <w:rFonts w:hint="eastAsia" w:ascii="宋体"/>
          <w:color w:val="0000FF"/>
        </w:rPr>
        <w:t>（5）乙方偿付的违约金不足以弥补甲方损失的，还应按甲方损失尚未弥补的部分，支付赔偿金给甲方。</w:t>
      </w:r>
    </w:p>
    <w:p>
      <w:pPr>
        <w:pStyle w:val="3"/>
        <w:spacing w:line="400" w:lineRule="exact"/>
        <w:ind w:firstLine="482" w:firstLineChars="200"/>
        <w:rPr>
          <w:rFonts w:ascii="黑体"/>
          <w:sz w:val="24"/>
          <w:szCs w:val="24"/>
        </w:rPr>
      </w:pPr>
      <w:r>
        <w:rPr>
          <w:rFonts w:hint="eastAsia" w:ascii="黑体"/>
          <w:sz w:val="24"/>
          <w:szCs w:val="24"/>
        </w:rPr>
        <w:t>争议解决办法</w:t>
      </w:r>
    </w:p>
    <w:p>
      <w:pPr>
        <w:pStyle w:val="17"/>
        <w:ind w:firstLine="480"/>
        <w:rPr>
          <w:rFonts w:ascii="宋体"/>
          <w:color w:val="0000FF"/>
        </w:rPr>
      </w:pPr>
      <w:r>
        <w:rPr>
          <w:rFonts w:hint="eastAsia" w:ascii="宋体"/>
          <w:color w:val="0000FF"/>
        </w:rPr>
        <w:t>1、因货物的质量问题发生争议，由质量技术监督部门或其指定的质量鉴定机构进行质量鉴定。货物符合标准的，鉴定费由甲方承担；货物不符合质量标准的，鉴定费由乙方承担。</w:t>
      </w:r>
    </w:p>
    <w:p>
      <w:pPr>
        <w:pStyle w:val="17"/>
        <w:ind w:firstLine="480"/>
        <w:rPr>
          <w:rFonts w:ascii="宋体"/>
          <w:color w:val="0000FF"/>
        </w:rPr>
      </w:pPr>
      <w:r>
        <w:rPr>
          <w:rFonts w:hint="eastAsia" w:ascii="宋体"/>
          <w:color w:val="0000FF"/>
        </w:rPr>
        <w:t>2、合同履行期间,若双方发生争议，可协商或由有关部门调解解决，协商或调解不成的，由当事人依法维护其合法权益。</w:t>
      </w:r>
    </w:p>
    <w:p>
      <w:pPr>
        <w:widowControl/>
        <w:shd w:val="clear" w:color="auto" w:fill="FFFFFF"/>
        <w:spacing w:line="480" w:lineRule="auto"/>
        <w:ind w:firstLine="840"/>
        <w:rPr>
          <w:rFonts w:ascii="宋体" w:hAnsi="宋体" w:eastAsia="宋体" w:cs="宋体"/>
          <w:color w:val="FF0000"/>
          <w:kern w:val="0"/>
          <w:sz w:val="24"/>
          <w:szCs w:val="24"/>
        </w:rPr>
      </w:pPr>
    </w:p>
    <w:p>
      <w:pPr>
        <w:widowControl/>
        <w:shd w:val="clear" w:color="auto" w:fill="FFFFFF"/>
        <w:spacing w:line="480" w:lineRule="auto"/>
        <w:ind w:firstLine="840"/>
        <w:rPr>
          <w:rFonts w:ascii="宋体" w:hAnsi="宋体" w:eastAsia="宋体" w:cs="宋体"/>
          <w:color w:val="FF0000"/>
          <w:kern w:val="0"/>
          <w:sz w:val="24"/>
          <w:szCs w:val="24"/>
        </w:rPr>
      </w:pPr>
      <w:r>
        <w:rPr>
          <w:rFonts w:hint="eastAsia" w:ascii="宋体" w:hAnsi="宋体" w:eastAsia="宋体" w:cs="宋体"/>
          <w:color w:val="FF0000"/>
          <w:kern w:val="0"/>
          <w:sz w:val="24"/>
          <w:szCs w:val="24"/>
        </w:rPr>
        <w:t>1</w:t>
      </w:r>
      <w:r>
        <w:rPr>
          <w:rFonts w:ascii="宋体" w:hAnsi="宋体" w:eastAsia="宋体" w:cs="宋体"/>
          <w:color w:val="FF0000"/>
          <w:kern w:val="0"/>
          <w:sz w:val="24"/>
          <w:szCs w:val="24"/>
        </w:rPr>
        <w:t>2</w:t>
      </w:r>
      <w:r>
        <w:rPr>
          <w:rFonts w:hint="eastAsia" w:ascii="宋体" w:hAnsi="宋体" w:eastAsia="宋体" w:cs="宋体"/>
          <w:color w:val="FF0000"/>
          <w:kern w:val="0"/>
          <w:sz w:val="24"/>
          <w:szCs w:val="24"/>
        </w:rPr>
        <w:t>）合同其他条款：</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420"/>
        <w:rPr>
          <w:rFonts w:ascii="宋体" w:hAnsi="宋体" w:eastAsia="宋体" w:cs="宋体"/>
          <w:color w:val="FF0000"/>
          <w:kern w:val="0"/>
          <w:sz w:val="24"/>
          <w:szCs w:val="24"/>
        </w:rPr>
      </w:pPr>
      <w:r>
        <w:rPr>
          <w:rFonts w:hint="eastAsia" w:ascii="宋体" w:hAnsi="宋体" w:eastAsia="宋体" w:cs="宋体"/>
          <w:color w:val="FF0000"/>
          <w:kern w:val="0"/>
          <w:sz w:val="24"/>
          <w:szCs w:val="24"/>
        </w:rPr>
        <w:t>9、履约验收方案</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1）验收组织方式：</w:t>
      </w:r>
      <w:r>
        <w:rPr>
          <w:rFonts w:hint="eastAsia" w:ascii="宋体" w:hAnsi="宋体" w:eastAsia="宋体" w:cs="宋体"/>
          <w:color w:val="0000FF"/>
          <w:kern w:val="0"/>
          <w:sz w:val="24"/>
          <w:szCs w:val="24"/>
        </w:rPr>
        <w:t>☑</w:t>
      </w:r>
      <w:r>
        <w:rPr>
          <w:rFonts w:hint="eastAsia" w:ascii="宋体" w:hAnsi="宋体" w:eastAsia="宋体" w:cs="宋体"/>
          <w:color w:val="333333"/>
          <w:kern w:val="0"/>
          <w:sz w:val="24"/>
          <w:szCs w:val="24"/>
        </w:rPr>
        <w:t>自行验收   □委托第三方验收</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2）是否邀请本项目的其他供应商：是□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0000FF"/>
          <w:kern w:val="0"/>
          <w:sz w:val="24"/>
          <w:szCs w:val="24"/>
        </w:rPr>
        <w:t>☑</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3）是否邀请专家：是□  否</w:t>
      </w:r>
      <w:r>
        <w:rPr>
          <w:rFonts w:hint="eastAsia" w:ascii="宋体" w:hAnsi="宋体" w:eastAsia="宋体" w:cs="宋体"/>
          <w:color w:val="0000FF"/>
          <w:kern w:val="0"/>
          <w:sz w:val="24"/>
          <w:szCs w:val="24"/>
        </w:rPr>
        <w:t>☑</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4）是否邀请服务对象：是</w:t>
      </w:r>
      <w:r>
        <w:rPr>
          <w:rFonts w:hint="eastAsia" w:ascii="宋体" w:hAnsi="宋体" w:eastAsia="宋体" w:cs="宋体"/>
          <w:color w:val="0000FF"/>
          <w:kern w:val="0"/>
          <w:sz w:val="24"/>
          <w:szCs w:val="24"/>
        </w:rPr>
        <w:t xml:space="preserve">☑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5）是否邀请第三方检测机构：是□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否</w:t>
      </w:r>
      <w:r>
        <w:rPr>
          <w:rFonts w:hint="eastAsia" w:ascii="宋体" w:hAnsi="宋体" w:eastAsia="宋体" w:cs="宋体"/>
          <w:color w:val="0000FF"/>
          <w:kern w:val="0"/>
          <w:sz w:val="24"/>
          <w:szCs w:val="24"/>
        </w:rPr>
        <w:t>☑</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6）履约验收程序：</w:t>
      </w:r>
      <w:r>
        <w:rPr>
          <w:rFonts w:hint="eastAsia" w:ascii="宋体" w:hAnsi="宋体" w:eastAsia="宋体" w:cs="宋体"/>
          <w:color w:val="0000FF"/>
          <w:kern w:val="0"/>
          <w:sz w:val="24"/>
          <w:szCs w:val="24"/>
        </w:rPr>
        <w:t>☑</w:t>
      </w:r>
      <w:r>
        <w:rPr>
          <w:rFonts w:hint="eastAsia" w:ascii="宋体" w:hAnsi="宋体" w:eastAsia="宋体" w:cs="宋体"/>
          <w:color w:val="333333"/>
          <w:kern w:val="0"/>
          <w:sz w:val="24"/>
          <w:szCs w:val="24"/>
        </w:rPr>
        <w:t>一次性验收   □分段/分期验收</w:t>
      </w:r>
    </w:p>
    <w:p>
      <w:pPr>
        <w:ind w:firstLine="840" w:firstLineChars="300"/>
        <w:rPr>
          <w:sz w:val="28"/>
        </w:rPr>
      </w:pPr>
      <w:r>
        <w:rPr>
          <w:rFonts w:hint="eastAsia"/>
          <w:sz w:val="28"/>
        </w:rPr>
        <w:t>7）履约验收时间：</w:t>
      </w:r>
    </w:p>
    <w:p>
      <w:pPr>
        <w:ind w:firstLine="700" w:firstLineChars="250"/>
        <w:rPr>
          <w:sz w:val="28"/>
        </w:rPr>
      </w:pPr>
      <w:r>
        <w:rPr>
          <w:rFonts w:hint="eastAsia"/>
          <w:sz w:val="28"/>
        </w:rPr>
        <w:t>□计划于</w:t>
      </w:r>
      <w:r>
        <w:rPr>
          <w:sz w:val="28"/>
        </w:rPr>
        <w:t xml:space="preserve">      </w:t>
      </w:r>
      <w:r>
        <w:rPr>
          <w:rFonts w:hint="eastAsia"/>
          <w:sz w:val="28"/>
        </w:rPr>
        <w:t>组织验收</w:t>
      </w:r>
    </w:p>
    <w:p>
      <w:pPr>
        <w:ind w:firstLine="700" w:firstLineChars="250"/>
        <w:rPr>
          <w:color w:val="0000FF"/>
          <w:sz w:val="28"/>
        </w:rPr>
      </w:pPr>
      <w:r>
        <w:rPr>
          <w:rFonts w:hint="eastAsia"/>
          <w:color w:val="0000FF"/>
          <w:sz w:val="28"/>
        </w:rPr>
        <w:t>☑供应商提出验收申请之日起</w:t>
      </w:r>
      <w:r>
        <w:rPr>
          <w:color w:val="0000FF"/>
          <w:sz w:val="28"/>
        </w:rPr>
        <w:t xml:space="preserve">    </w:t>
      </w:r>
      <w:r>
        <w:rPr>
          <w:rFonts w:hint="eastAsia"/>
          <w:color w:val="0000FF"/>
          <w:sz w:val="28"/>
        </w:rPr>
        <w:t>7</w:t>
      </w:r>
      <w:r>
        <w:rPr>
          <w:color w:val="0000FF"/>
          <w:sz w:val="28"/>
        </w:rPr>
        <w:t xml:space="preserve">   </w:t>
      </w:r>
      <w:r>
        <w:rPr>
          <w:rFonts w:hint="eastAsia"/>
          <w:color w:val="0000FF"/>
          <w:sz w:val="28"/>
        </w:rPr>
        <w:t>日内组织验收</w:t>
      </w:r>
    </w:p>
    <w:p>
      <w:pPr>
        <w:widowControl/>
        <w:shd w:val="clear" w:color="auto" w:fill="FFFFFF"/>
        <w:spacing w:line="480" w:lineRule="auto"/>
        <w:ind w:firstLine="840"/>
        <w:rPr>
          <w:rFonts w:ascii="宋体" w:hAnsi="宋体" w:eastAsia="宋体" w:cs="宋体"/>
          <w:color w:val="333333"/>
          <w:kern w:val="0"/>
          <w:sz w:val="24"/>
          <w:szCs w:val="24"/>
        </w:rPr>
      </w:pPr>
      <w:r>
        <w:rPr>
          <w:rFonts w:ascii="宋体" w:hAnsi="宋体" w:eastAsia="宋体" w:cs="宋体"/>
          <w:color w:val="333333"/>
          <w:kern w:val="0"/>
          <w:sz w:val="24"/>
          <w:szCs w:val="24"/>
        </w:rPr>
        <w:t>8</w:t>
      </w:r>
      <w:r>
        <w:rPr>
          <w:rFonts w:hint="eastAsia" w:ascii="宋体" w:hAnsi="宋体" w:eastAsia="宋体" w:cs="宋体"/>
          <w:color w:val="333333"/>
          <w:kern w:val="0"/>
          <w:sz w:val="24"/>
          <w:szCs w:val="24"/>
        </w:rPr>
        <w:t>）验收组织的其他事项：</w:t>
      </w:r>
      <w:r>
        <w:rPr>
          <w:rFonts w:hint="eastAsia" w:ascii="宋体" w:hAnsi="宋体" w:eastAsia="宋体" w:cs="宋体"/>
          <w:color w:val="0A82E5"/>
          <w:kern w:val="0"/>
          <w:sz w:val="24"/>
          <w:szCs w:val="24"/>
        </w:rPr>
        <w:t xml:space="preserve"> </w:t>
      </w:r>
    </w:p>
    <w:p>
      <w:pPr>
        <w:widowControl/>
        <w:shd w:val="clear" w:color="auto" w:fill="FFFFFF"/>
        <w:spacing w:line="480" w:lineRule="auto"/>
        <w:ind w:firstLine="840"/>
        <w:rPr>
          <w:rFonts w:ascii="宋体" w:hAnsi="宋体" w:eastAsia="宋体" w:cs="宋体"/>
          <w:color w:val="333333"/>
          <w:kern w:val="0"/>
          <w:sz w:val="24"/>
          <w:szCs w:val="24"/>
        </w:rPr>
      </w:pPr>
      <w:r>
        <w:rPr>
          <w:rFonts w:ascii="宋体" w:hAnsi="宋体" w:eastAsia="宋体" w:cs="宋体"/>
          <w:color w:val="333333"/>
          <w:kern w:val="0"/>
          <w:sz w:val="24"/>
          <w:szCs w:val="24"/>
        </w:rPr>
        <w:t>9</w:t>
      </w:r>
      <w:r>
        <w:rPr>
          <w:rFonts w:hint="eastAsia" w:ascii="宋体" w:hAnsi="宋体" w:eastAsia="宋体" w:cs="宋体"/>
          <w:color w:val="333333"/>
          <w:kern w:val="0"/>
          <w:sz w:val="24"/>
          <w:szCs w:val="24"/>
        </w:rPr>
        <w:t>）技术履约验收内容：</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0A82E5"/>
          <w:kern w:val="0"/>
          <w:sz w:val="24"/>
          <w:szCs w:val="24"/>
          <w:shd w:val="clear" w:color="auto" w:fill="FFFF00"/>
        </w:rPr>
      </w:pPr>
      <w:r>
        <w:rPr>
          <w:rFonts w:ascii="宋体" w:hAnsi="宋体" w:eastAsia="宋体" w:cs="宋体"/>
          <w:color w:val="333333"/>
          <w:kern w:val="0"/>
          <w:sz w:val="24"/>
          <w:szCs w:val="24"/>
        </w:rPr>
        <w:t>10</w:t>
      </w:r>
      <w:r>
        <w:rPr>
          <w:rFonts w:hint="eastAsia" w:ascii="宋体" w:hAnsi="宋体" w:eastAsia="宋体" w:cs="宋体"/>
          <w:color w:val="333333"/>
          <w:kern w:val="0"/>
          <w:sz w:val="24"/>
          <w:szCs w:val="24"/>
        </w:rPr>
        <w:t>）商务履约验收内容：</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0A82E5"/>
          <w:kern w:val="0"/>
          <w:sz w:val="24"/>
          <w:szCs w:val="24"/>
          <w:shd w:val="clear" w:color="auto" w:fill="FFFF00"/>
        </w:rPr>
      </w:pPr>
      <w:r>
        <w:rPr>
          <w:rFonts w:hint="eastAsia" w:ascii="宋体" w:hAnsi="宋体" w:eastAsia="宋体" w:cs="宋体"/>
          <w:color w:val="333333"/>
          <w:kern w:val="0"/>
          <w:sz w:val="24"/>
          <w:szCs w:val="24"/>
        </w:rPr>
        <w:t>1</w:t>
      </w:r>
      <w:r>
        <w:rPr>
          <w:rFonts w:ascii="宋体" w:hAnsi="宋体" w:eastAsia="宋体" w:cs="宋体"/>
          <w:color w:val="333333"/>
          <w:kern w:val="0"/>
          <w:sz w:val="24"/>
          <w:szCs w:val="24"/>
        </w:rPr>
        <w:t>1</w:t>
      </w:r>
      <w:r>
        <w:rPr>
          <w:rFonts w:hint="eastAsia" w:ascii="宋体" w:hAnsi="宋体" w:eastAsia="宋体" w:cs="宋体"/>
          <w:color w:val="333333"/>
          <w:kern w:val="0"/>
          <w:sz w:val="24"/>
          <w:szCs w:val="24"/>
        </w:rPr>
        <w:t>）履约验收标准：</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r>
        <w:rPr>
          <w:rFonts w:ascii="宋体" w:hAnsi="宋体" w:eastAsia="宋体" w:cs="宋体"/>
          <w:color w:val="333333"/>
          <w:kern w:val="0"/>
          <w:sz w:val="24"/>
          <w:szCs w:val="24"/>
        </w:rPr>
        <w:t>2</w:t>
      </w:r>
      <w:r>
        <w:rPr>
          <w:rFonts w:hint="eastAsia" w:ascii="宋体" w:hAnsi="宋体" w:eastAsia="宋体" w:cs="宋体"/>
          <w:color w:val="333333"/>
          <w:kern w:val="0"/>
          <w:sz w:val="24"/>
          <w:szCs w:val="24"/>
        </w:rPr>
        <w:t>）履约验收其他事项：</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outlineLvl w:val="2"/>
        <w:rPr>
          <w:rFonts w:ascii="宋体" w:hAnsi="宋体" w:eastAsia="宋体" w:cs="宋体"/>
          <w:b/>
          <w:bCs/>
          <w:color w:val="333333"/>
          <w:kern w:val="0"/>
          <w:sz w:val="27"/>
          <w:szCs w:val="27"/>
        </w:rPr>
      </w:pPr>
      <w:r>
        <w:rPr>
          <w:rFonts w:hint="eastAsia" w:ascii="宋体" w:hAnsi="宋体" w:eastAsia="宋体" w:cs="宋体"/>
          <w:b/>
          <w:bCs/>
          <w:color w:val="333333"/>
          <w:kern w:val="0"/>
          <w:sz w:val="27"/>
          <w:szCs w:val="27"/>
        </w:rPr>
        <w:t>五、风险控制措施和替代方案</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该采购项目按照《政府采购需求管理办法》第二十五条规定，本项目是否需要组织风险判断、提出处置措施和替代方案：是□（填以下</w:t>
      </w:r>
      <w:r>
        <w:rPr>
          <w:rFonts w:ascii="宋体" w:hAnsi="宋体" w:eastAsia="宋体" w:cs="宋体"/>
          <w:color w:val="333333"/>
          <w:kern w:val="0"/>
          <w:sz w:val="24"/>
          <w:szCs w:val="24"/>
        </w:rPr>
        <w:t>信息</w:t>
      </w:r>
      <w:r>
        <w:rPr>
          <w:rFonts w:hint="eastAsia" w:ascii="宋体" w:hAnsi="宋体" w:eastAsia="宋体" w:cs="宋体"/>
          <w:color w:val="333333"/>
          <w:kern w:val="0"/>
          <w:sz w:val="24"/>
          <w:szCs w:val="24"/>
        </w:rPr>
        <w:t xml:space="preserve">） </w:t>
      </w:r>
      <w:r>
        <w:rPr>
          <w:rFonts w:ascii="宋体" w:hAnsi="宋体" w:eastAsia="宋体" w:cs="宋体"/>
          <w:color w:val="333333"/>
          <w:kern w:val="0"/>
          <w:sz w:val="24"/>
          <w:szCs w:val="24"/>
        </w:rPr>
        <w:t xml:space="preserve"> </w:t>
      </w:r>
      <w:r>
        <w:rPr>
          <w:rFonts w:hint="eastAsia" w:ascii="宋体" w:hAnsi="宋体" w:eastAsia="宋体" w:cs="宋体"/>
          <w:color w:val="0000FF"/>
          <w:kern w:val="0"/>
          <w:sz w:val="24"/>
          <w:szCs w:val="24"/>
        </w:rPr>
        <w:t>否☑</w:t>
      </w: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1）国家政策变化风险的应对措施：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2）实施环境变化风险的应对措施：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3）重大技术变化风险的应对措施：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4）预算项目调整风险的应对措施：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5）因质疑投诉影响采购进度风险的应对措施：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6）采购失败风险的应对措施：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7）不按规定签订或者履行合同风险的应对措施：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8）出现损害国家利益和社会公共利益情形风险的应对措施：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840"/>
        <w:rPr>
          <w:rFonts w:ascii="宋体" w:hAnsi="宋体" w:eastAsia="宋体" w:cs="宋体"/>
          <w:color w:val="333333"/>
          <w:kern w:val="0"/>
          <w:sz w:val="24"/>
          <w:szCs w:val="24"/>
        </w:rPr>
      </w:pPr>
      <w:r>
        <w:rPr>
          <w:rFonts w:hint="eastAsia" w:ascii="宋体" w:hAnsi="宋体" w:eastAsia="宋体" w:cs="宋体"/>
          <w:color w:val="333333"/>
          <w:kern w:val="0"/>
          <w:sz w:val="24"/>
          <w:szCs w:val="24"/>
        </w:rPr>
        <w:t>9）其他采购和合同履行过程的风险及应对措施：</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项目负责人（签字）：</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项目单位负责人（签字）：</w:t>
      </w:r>
    </w:p>
    <w:p>
      <w:pPr>
        <w:widowControl/>
        <w:shd w:val="clear" w:color="auto" w:fill="FFFFFF"/>
        <w:spacing w:line="48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经费主管部门负责人（签字）：　　　　　　　　　　　</w:t>
      </w:r>
    </w:p>
    <w:p>
      <w:pPr>
        <w:widowControl/>
        <w:shd w:val="clear" w:color="auto" w:fill="FFFFFF"/>
        <w:spacing w:line="480" w:lineRule="auto"/>
        <w:ind w:firstLine="840"/>
        <w:rPr>
          <w:rFonts w:ascii="宋体" w:hAnsi="宋体" w:eastAsia="宋体" w:cs="宋体"/>
          <w:color w:val="333333"/>
          <w:kern w:val="0"/>
          <w:sz w:val="24"/>
          <w:szCs w:val="24"/>
        </w:rPr>
      </w:pPr>
    </w:p>
    <w:p>
      <w:pPr>
        <w:widowControl/>
        <w:shd w:val="clear" w:color="auto" w:fill="FFFFFF"/>
        <w:spacing w:line="480" w:lineRule="auto"/>
        <w:ind w:firstLine="6000" w:firstLineChars="250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　年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 xml:space="preserve"> 月 </w:t>
      </w:r>
      <w:r>
        <w:rPr>
          <w:rFonts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t xml:space="preserve"> 日</w:t>
      </w:r>
    </w:p>
    <w:p/>
    <w:p>
      <w:pPr>
        <w:rPr>
          <w:sz w:val="28"/>
        </w:rPr>
      </w:pPr>
      <w:r>
        <w:rPr>
          <w:rFonts w:hint="eastAsia"/>
          <w:sz w:val="28"/>
        </w:rPr>
        <w:t>注意事项</w:t>
      </w:r>
      <w:r>
        <w:rPr>
          <w:sz w:val="28"/>
        </w:rPr>
        <w:t>：</w:t>
      </w:r>
    </w:p>
    <w:p>
      <w:pPr>
        <w:rPr>
          <w:sz w:val="28"/>
        </w:rPr>
      </w:pPr>
      <w:r>
        <w:rPr>
          <w:rFonts w:hint="eastAsia"/>
          <w:sz w:val="28"/>
        </w:rPr>
        <w:t>1.采购项目预算大于50万元（含50万元）需提供采购单位确定需求的部（处）会议纪要或学院党政联席会议纪要。</w:t>
      </w:r>
    </w:p>
    <w:p>
      <w:pPr>
        <w:rPr>
          <w:sz w:val="28"/>
        </w:rPr>
      </w:pPr>
      <w:r>
        <w:rPr>
          <w:rFonts w:hint="eastAsia"/>
          <w:sz w:val="28"/>
        </w:rPr>
        <w:t>2.各单位政府采购</w:t>
      </w:r>
      <w:r>
        <w:rPr>
          <w:sz w:val="28"/>
        </w:rPr>
        <w:t>项目</w:t>
      </w:r>
      <w:r>
        <w:rPr>
          <w:rFonts w:hint="eastAsia"/>
          <w:sz w:val="28"/>
        </w:rPr>
        <w:t>的采购</w:t>
      </w:r>
      <w:r>
        <w:rPr>
          <w:sz w:val="28"/>
        </w:rPr>
        <w:t>需求</w:t>
      </w:r>
      <w:r>
        <w:rPr>
          <w:rFonts w:hint="eastAsia"/>
          <w:sz w:val="28"/>
        </w:rPr>
        <w:t>在部门（学院）</w:t>
      </w:r>
      <w:r>
        <w:rPr>
          <w:sz w:val="28"/>
        </w:rPr>
        <w:t>网站</w:t>
      </w:r>
      <w:r>
        <w:rPr>
          <w:rFonts w:hint="eastAsia"/>
          <w:sz w:val="28"/>
        </w:rPr>
        <w:t>首页公示不少于3天。公示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r>
        <w:rPr>
          <w:sz w:val="28"/>
        </w:rPr>
        <w:t>交国有资产与实验室管理处（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F25C70"/>
    <w:multiLevelType w:val="singleLevel"/>
    <w:tmpl w:val="5DF25C7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xZWRiMTQwOWRlM2QxOTc0NDBmNWE2ZmNkZjU5YTAifQ=="/>
  </w:docVars>
  <w:rsids>
    <w:rsidRoot w:val="00AD7054"/>
    <w:rsid w:val="00040FCD"/>
    <w:rsid w:val="000513E3"/>
    <w:rsid w:val="00083335"/>
    <w:rsid w:val="000B5CA1"/>
    <w:rsid w:val="000C542D"/>
    <w:rsid w:val="000E034D"/>
    <w:rsid w:val="00140E76"/>
    <w:rsid w:val="00150A32"/>
    <w:rsid w:val="0015358E"/>
    <w:rsid w:val="001A7597"/>
    <w:rsid w:val="001C5221"/>
    <w:rsid w:val="001F6C43"/>
    <w:rsid w:val="00223F10"/>
    <w:rsid w:val="0023419D"/>
    <w:rsid w:val="00234C7D"/>
    <w:rsid w:val="0024333F"/>
    <w:rsid w:val="00245715"/>
    <w:rsid w:val="00250533"/>
    <w:rsid w:val="002D76ED"/>
    <w:rsid w:val="002E609C"/>
    <w:rsid w:val="00310C10"/>
    <w:rsid w:val="003170FE"/>
    <w:rsid w:val="00340F48"/>
    <w:rsid w:val="00344DF5"/>
    <w:rsid w:val="003450B6"/>
    <w:rsid w:val="00372FCC"/>
    <w:rsid w:val="00376B8B"/>
    <w:rsid w:val="003A3213"/>
    <w:rsid w:val="003B3860"/>
    <w:rsid w:val="003F6901"/>
    <w:rsid w:val="00401888"/>
    <w:rsid w:val="00406B5F"/>
    <w:rsid w:val="004A093F"/>
    <w:rsid w:val="004A7D59"/>
    <w:rsid w:val="004F6BD8"/>
    <w:rsid w:val="00522CF6"/>
    <w:rsid w:val="00550DA2"/>
    <w:rsid w:val="00571B2F"/>
    <w:rsid w:val="005776F7"/>
    <w:rsid w:val="005A1722"/>
    <w:rsid w:val="005D78E8"/>
    <w:rsid w:val="00611B8B"/>
    <w:rsid w:val="00616DEC"/>
    <w:rsid w:val="00692CED"/>
    <w:rsid w:val="006B2DCA"/>
    <w:rsid w:val="006B7A64"/>
    <w:rsid w:val="006C6266"/>
    <w:rsid w:val="006D1DCC"/>
    <w:rsid w:val="006D3AED"/>
    <w:rsid w:val="006E0DB2"/>
    <w:rsid w:val="00713CAB"/>
    <w:rsid w:val="00717634"/>
    <w:rsid w:val="00721D58"/>
    <w:rsid w:val="00724B9D"/>
    <w:rsid w:val="007432F7"/>
    <w:rsid w:val="00754E5D"/>
    <w:rsid w:val="00755642"/>
    <w:rsid w:val="00756A9F"/>
    <w:rsid w:val="007C23C9"/>
    <w:rsid w:val="007E2F8B"/>
    <w:rsid w:val="00806316"/>
    <w:rsid w:val="00807DCC"/>
    <w:rsid w:val="00865649"/>
    <w:rsid w:val="008B50D6"/>
    <w:rsid w:val="008C54FE"/>
    <w:rsid w:val="008D7645"/>
    <w:rsid w:val="008E3C8F"/>
    <w:rsid w:val="00922CDE"/>
    <w:rsid w:val="009502DE"/>
    <w:rsid w:val="00977065"/>
    <w:rsid w:val="009D0527"/>
    <w:rsid w:val="009D53C0"/>
    <w:rsid w:val="009D704D"/>
    <w:rsid w:val="00A21F0F"/>
    <w:rsid w:val="00A46107"/>
    <w:rsid w:val="00A75500"/>
    <w:rsid w:val="00AB58F8"/>
    <w:rsid w:val="00AC1AB5"/>
    <w:rsid w:val="00AC5F10"/>
    <w:rsid w:val="00AD7054"/>
    <w:rsid w:val="00B10AA5"/>
    <w:rsid w:val="00B11E4C"/>
    <w:rsid w:val="00B16033"/>
    <w:rsid w:val="00B54535"/>
    <w:rsid w:val="00B63B44"/>
    <w:rsid w:val="00B8496D"/>
    <w:rsid w:val="00BB1C31"/>
    <w:rsid w:val="00BE2EF4"/>
    <w:rsid w:val="00C02E7D"/>
    <w:rsid w:val="00C2059D"/>
    <w:rsid w:val="00C30379"/>
    <w:rsid w:val="00C52311"/>
    <w:rsid w:val="00C624FE"/>
    <w:rsid w:val="00C6668D"/>
    <w:rsid w:val="00CB51C6"/>
    <w:rsid w:val="00CF621F"/>
    <w:rsid w:val="00D21B46"/>
    <w:rsid w:val="00D457EF"/>
    <w:rsid w:val="00D51E1C"/>
    <w:rsid w:val="00D82CBA"/>
    <w:rsid w:val="00D92944"/>
    <w:rsid w:val="00DA3218"/>
    <w:rsid w:val="00DB3C0A"/>
    <w:rsid w:val="00DD6420"/>
    <w:rsid w:val="00DD77B5"/>
    <w:rsid w:val="00E36EDE"/>
    <w:rsid w:val="00E50229"/>
    <w:rsid w:val="00E859C7"/>
    <w:rsid w:val="00E91F51"/>
    <w:rsid w:val="00E97CF1"/>
    <w:rsid w:val="00ED2506"/>
    <w:rsid w:val="00EE1730"/>
    <w:rsid w:val="00EE5DA2"/>
    <w:rsid w:val="00EF2BA1"/>
    <w:rsid w:val="00F242C6"/>
    <w:rsid w:val="00F31AAA"/>
    <w:rsid w:val="00F37C70"/>
    <w:rsid w:val="00F4115F"/>
    <w:rsid w:val="00F50BA3"/>
    <w:rsid w:val="00F57A1A"/>
    <w:rsid w:val="00F67A79"/>
    <w:rsid w:val="00F72EA8"/>
    <w:rsid w:val="00FB203D"/>
    <w:rsid w:val="03084B46"/>
    <w:rsid w:val="065C01A5"/>
    <w:rsid w:val="069761AE"/>
    <w:rsid w:val="06EE630E"/>
    <w:rsid w:val="0D5A3183"/>
    <w:rsid w:val="105647C0"/>
    <w:rsid w:val="120C16CC"/>
    <w:rsid w:val="12B03224"/>
    <w:rsid w:val="2ACA0A2C"/>
    <w:rsid w:val="2BD224C2"/>
    <w:rsid w:val="2EB50027"/>
    <w:rsid w:val="31746464"/>
    <w:rsid w:val="41B06F5D"/>
    <w:rsid w:val="46651348"/>
    <w:rsid w:val="467C2464"/>
    <w:rsid w:val="503A717B"/>
    <w:rsid w:val="54D075AE"/>
    <w:rsid w:val="62F45876"/>
    <w:rsid w:val="692C21F8"/>
    <w:rsid w:val="7633660A"/>
    <w:rsid w:val="781C593A"/>
    <w:rsid w:val="7AF34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400" w:lineRule="exact"/>
      <w:ind w:left="3828" w:hanging="425"/>
      <w:jc w:val="center"/>
      <w:outlineLvl w:val="0"/>
    </w:pPr>
    <w:rPr>
      <w:rFonts w:ascii="宋体" w:hAnsi="宋体" w:eastAsia="宋体" w:cs="宋体"/>
      <w:b/>
      <w:bCs/>
      <w:spacing w:val="-20"/>
      <w:kern w:val="44"/>
      <w:sz w:val="32"/>
      <w:szCs w:val="32"/>
    </w:rPr>
  </w:style>
  <w:style w:type="paragraph" w:styleId="3">
    <w:name w:val="heading 2"/>
    <w:basedOn w:val="1"/>
    <w:next w:val="1"/>
    <w:link w:val="19"/>
    <w:qFormat/>
    <w:uiPriority w:val="0"/>
    <w:pPr>
      <w:keepNext/>
      <w:keepLines/>
      <w:spacing w:before="260" w:after="260" w:line="415" w:lineRule="auto"/>
      <w:outlineLvl w:val="1"/>
    </w:pPr>
    <w:rPr>
      <w:rFonts w:ascii="Arial" w:hAnsi="Arial" w:eastAsia="黑体" w:cs="Times New Roman"/>
      <w:b/>
      <w:bCs/>
      <w:sz w:val="32"/>
      <w:szCs w:val="32"/>
    </w:rPr>
  </w:style>
  <w:style w:type="paragraph" w:styleId="4">
    <w:name w:val="heading 3"/>
    <w:basedOn w:val="1"/>
    <w:next w:val="1"/>
    <w:link w:val="23"/>
    <w:unhideWhenUsed/>
    <w:qFormat/>
    <w:uiPriority w:val="0"/>
    <w:pPr>
      <w:keepNext/>
      <w:keepLines/>
      <w:spacing w:line="360" w:lineRule="auto"/>
      <w:ind w:left="4112" w:hanging="567"/>
      <w:outlineLvl w:val="2"/>
    </w:pPr>
    <w:rPr>
      <w:rFonts w:ascii="宋体" w:hAnsi="宋体" w:eastAsia="宋体" w:cs="宋体"/>
      <w:b/>
      <w:bCs/>
      <w:color w:val="000000"/>
      <w:kern w:val="0"/>
      <w:sz w:val="28"/>
      <w:szCs w:val="28"/>
    </w:rPr>
  </w:style>
  <w:style w:type="paragraph" w:styleId="5">
    <w:name w:val="heading 4"/>
    <w:basedOn w:val="1"/>
    <w:next w:val="1"/>
    <w:link w:val="24"/>
    <w:semiHidden/>
    <w:unhideWhenUsed/>
    <w:qFormat/>
    <w:uiPriority w:val="9"/>
    <w:pPr>
      <w:keepNext/>
      <w:keepLines/>
      <w:spacing w:before="120" w:after="120" w:line="360" w:lineRule="auto"/>
      <w:ind w:left="4253" w:hanging="708"/>
      <w:jc w:val="left"/>
      <w:outlineLvl w:val="3"/>
    </w:pPr>
    <w:rPr>
      <w:rFonts w:ascii="Arial" w:hAnsi="Arial" w:eastAsia="宋体" w:cs="Times New Roman"/>
      <w:b/>
      <w:bCs/>
      <w:kern w:val="0"/>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5"/>
    <w:semiHidden/>
    <w:unhideWhenUsed/>
    <w:qFormat/>
    <w:uiPriority w:val="99"/>
    <w:pPr>
      <w:jc w:val="left"/>
    </w:pPr>
  </w:style>
  <w:style w:type="paragraph" w:styleId="7">
    <w:name w:val="Balloon Text"/>
    <w:basedOn w:val="1"/>
    <w:link w:val="2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6"/>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paragraph" w:customStyle="1" w:styleId="17">
    <w:name w:val="样式 首行缩进:  2 字符"/>
    <w:basedOn w:val="1"/>
    <w:qFormat/>
    <w:uiPriority w:val="0"/>
    <w:pPr>
      <w:spacing w:line="400" w:lineRule="exact"/>
      <w:ind w:firstLine="200" w:firstLineChars="200"/>
    </w:pPr>
    <w:rPr>
      <w:rFonts w:ascii="Calibri" w:hAnsi="Calibri" w:eastAsia="宋体" w:cs="宋体"/>
      <w:sz w:val="24"/>
      <w:szCs w:val="24"/>
    </w:rPr>
  </w:style>
  <w:style w:type="character" w:customStyle="1" w:styleId="18">
    <w:name w:val="标题 2 字符"/>
    <w:basedOn w:val="13"/>
    <w:semiHidden/>
    <w:qFormat/>
    <w:uiPriority w:val="9"/>
    <w:rPr>
      <w:rFonts w:asciiTheme="majorHAnsi" w:hAnsiTheme="majorHAnsi" w:eastAsiaTheme="majorEastAsia" w:cstheme="majorBidi"/>
      <w:b/>
      <w:bCs/>
      <w:sz w:val="32"/>
      <w:szCs w:val="32"/>
    </w:rPr>
  </w:style>
  <w:style w:type="character" w:customStyle="1" w:styleId="19">
    <w:name w:val="标题 2 字符1"/>
    <w:basedOn w:val="13"/>
    <w:link w:val="3"/>
    <w:qFormat/>
    <w:uiPriority w:val="0"/>
    <w:rPr>
      <w:rFonts w:ascii="Arial" w:hAnsi="Arial" w:eastAsia="黑体" w:cs="Times New Roman"/>
      <w:b/>
      <w:bCs/>
      <w:sz w:val="32"/>
      <w:szCs w:val="32"/>
    </w:rPr>
  </w:style>
  <w:style w:type="character" w:customStyle="1" w:styleId="20">
    <w:name w:val="NormalCharacter"/>
    <w:link w:val="21"/>
    <w:qFormat/>
    <w:uiPriority w:val="0"/>
    <w:rPr>
      <w:rFonts w:asciiTheme="minorHAnsi" w:hAnsiTheme="minorHAnsi" w:eastAsiaTheme="minorEastAsia" w:cstheme="minorBidi"/>
      <w:szCs w:val="22"/>
    </w:rPr>
  </w:style>
  <w:style w:type="paragraph" w:customStyle="1" w:styleId="21">
    <w:name w:val="UserStyle_1"/>
    <w:basedOn w:val="1"/>
    <w:link w:val="20"/>
    <w:qFormat/>
    <w:uiPriority w:val="0"/>
    <w:pPr>
      <w:widowControl/>
      <w:spacing w:after="160" w:line="240" w:lineRule="exact"/>
      <w:jc w:val="left"/>
      <w:textAlignment w:val="baseline"/>
    </w:pPr>
  </w:style>
  <w:style w:type="character" w:customStyle="1" w:styleId="22">
    <w:name w:val="标题 1 字符"/>
    <w:basedOn w:val="13"/>
    <w:link w:val="2"/>
    <w:qFormat/>
    <w:uiPriority w:val="0"/>
    <w:rPr>
      <w:rFonts w:ascii="宋体" w:hAnsi="宋体" w:cs="宋体"/>
      <w:b/>
      <w:bCs/>
      <w:spacing w:val="-20"/>
      <w:kern w:val="44"/>
      <w:sz w:val="32"/>
      <w:szCs w:val="32"/>
    </w:rPr>
  </w:style>
  <w:style w:type="character" w:customStyle="1" w:styleId="23">
    <w:name w:val="标题 3 字符"/>
    <w:basedOn w:val="13"/>
    <w:link w:val="4"/>
    <w:qFormat/>
    <w:uiPriority w:val="0"/>
    <w:rPr>
      <w:rFonts w:ascii="宋体" w:hAnsi="宋体" w:cs="宋体"/>
      <w:b/>
      <w:bCs/>
      <w:color w:val="000000"/>
      <w:sz w:val="28"/>
      <w:szCs w:val="28"/>
    </w:rPr>
  </w:style>
  <w:style w:type="character" w:customStyle="1" w:styleId="24">
    <w:name w:val="标题 4 字符"/>
    <w:basedOn w:val="13"/>
    <w:link w:val="5"/>
    <w:semiHidden/>
    <w:qFormat/>
    <w:uiPriority w:val="9"/>
    <w:rPr>
      <w:rFonts w:ascii="Arial" w:hAnsi="Arial"/>
      <w:b/>
      <w:bCs/>
      <w:sz w:val="28"/>
      <w:szCs w:val="28"/>
    </w:rPr>
  </w:style>
  <w:style w:type="character" w:customStyle="1" w:styleId="25">
    <w:name w:val="批注文字 字符"/>
    <w:basedOn w:val="13"/>
    <w:link w:val="6"/>
    <w:semiHidden/>
    <w:qFormat/>
    <w:uiPriority w:val="99"/>
    <w:rPr>
      <w:rFonts w:asciiTheme="minorHAnsi" w:hAnsiTheme="minorHAnsi" w:eastAsiaTheme="minorEastAsia" w:cstheme="minorBidi"/>
      <w:kern w:val="2"/>
      <w:sz w:val="21"/>
      <w:szCs w:val="22"/>
    </w:rPr>
  </w:style>
  <w:style w:type="character" w:customStyle="1" w:styleId="26">
    <w:name w:val="批注主题 字符"/>
    <w:basedOn w:val="25"/>
    <w:link w:val="10"/>
    <w:semiHidden/>
    <w:qFormat/>
    <w:uiPriority w:val="99"/>
    <w:rPr>
      <w:rFonts w:asciiTheme="minorHAnsi" w:hAnsiTheme="minorHAnsi" w:eastAsiaTheme="minorEastAsia" w:cstheme="minorBidi"/>
      <w:b/>
      <w:bCs/>
      <w:kern w:val="2"/>
      <w:sz w:val="21"/>
      <w:szCs w:val="22"/>
    </w:rPr>
  </w:style>
  <w:style w:type="character" w:customStyle="1" w:styleId="27">
    <w:name w:val="批注框文本 字符"/>
    <w:basedOn w:val="13"/>
    <w:link w:val="7"/>
    <w:semiHidden/>
    <w:qFormat/>
    <w:uiPriority w:val="99"/>
    <w:rPr>
      <w:rFonts w:asciiTheme="minorHAnsi" w:hAnsiTheme="minorHAnsi" w:eastAsiaTheme="minorEastAsia" w:cstheme="minorBidi"/>
      <w:kern w:val="2"/>
      <w:sz w:val="18"/>
      <w:szCs w:val="18"/>
    </w:rPr>
  </w:style>
  <w:style w:type="character" w:customStyle="1" w:styleId="28">
    <w:name w:val="font61"/>
    <w:basedOn w:val="13"/>
    <w:qFormat/>
    <w:uiPriority w:val="0"/>
    <w:rPr>
      <w:rFonts w:hint="eastAsia" w:ascii="宋体" w:hAnsi="宋体" w:eastAsia="宋体" w:cs="宋体"/>
      <w:b/>
      <w:bCs/>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A5D8-E08F-49E4-A088-7DC15E46C3D8}">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17190</Words>
  <Characters>19251</Characters>
  <Lines>107</Lines>
  <Paragraphs>30</Paragraphs>
  <TotalTime>1</TotalTime>
  <ScaleCrop>false</ScaleCrop>
  <LinksUpToDate>false</LinksUpToDate>
  <CharactersWithSpaces>19870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2022-08-10T02:46:00Z</dcterms:created>
  <dc:creator>张灵峻</dc:creator>
  <cp:lastModifiedBy>Sebastian</cp:lastModifiedBy>
  <dcterms:modified xsi:type="dcterms:W3CDTF">2022-11-29T08:23:56Z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C86C174D0A7E440B8CD829C3D28F5DB1</vt:lpwstr>
  </property>
</Properties>
</file>